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846"/>
        <w:gridCol w:w="992"/>
        <w:gridCol w:w="5368"/>
        <w:gridCol w:w="2422"/>
      </w:tblGrid>
      <w:tr w:rsidR="00D54E64" w:rsidRPr="00D54E64" w14:paraId="6AD8E8F0" w14:textId="1F5FEC17" w:rsidTr="00043FA9">
        <w:trPr>
          <w:trHeight w:val="849"/>
        </w:trPr>
        <w:tc>
          <w:tcPr>
            <w:tcW w:w="7206" w:type="dxa"/>
            <w:gridSpan w:val="3"/>
            <w:tcBorders>
              <w:top w:val="single" w:sz="4" w:space="0" w:color="008576"/>
              <w:left w:val="single" w:sz="4" w:space="0" w:color="008576"/>
              <w:bottom w:val="single" w:sz="4" w:space="0" w:color="008576"/>
              <w:right w:val="single" w:sz="4" w:space="0" w:color="008576"/>
            </w:tcBorders>
            <w:shd w:val="clear" w:color="auto" w:fill="9A4D9E"/>
            <w:vAlign w:val="center"/>
          </w:tcPr>
          <w:p w14:paraId="68324048" w14:textId="5662989A" w:rsidR="005A3382" w:rsidRPr="00D54E64" w:rsidRDefault="005A3382" w:rsidP="00C006F4">
            <w:pPr>
              <w:rPr>
                <w:rFonts w:cs="Arial"/>
                <w:b/>
                <w:bCs/>
                <w:color w:val="FFFFFF" w:themeColor="background1"/>
                <w:sz w:val="40"/>
                <w:szCs w:val="40"/>
              </w:rPr>
            </w:pPr>
            <w:r w:rsidRPr="00D54E64">
              <w:rPr>
                <w:rFonts w:cs="Arial"/>
                <w:b/>
                <w:bCs/>
                <w:color w:val="FFFFFF" w:themeColor="background1"/>
                <w:sz w:val="40"/>
                <w:szCs w:val="40"/>
              </w:rPr>
              <w:t xml:space="preserve">DCUSA </w:t>
            </w:r>
            <w:r w:rsidR="00043FA9">
              <w:rPr>
                <w:rFonts w:cs="Arial"/>
                <w:b/>
                <w:bCs/>
                <w:color w:val="FFFFFF" w:themeColor="background1"/>
                <w:sz w:val="40"/>
                <w:szCs w:val="40"/>
              </w:rPr>
              <w:t>Change Report</w:t>
            </w:r>
          </w:p>
        </w:tc>
        <w:tc>
          <w:tcPr>
            <w:tcW w:w="2422" w:type="dxa"/>
            <w:tcBorders>
              <w:top w:val="single" w:sz="4" w:space="0" w:color="008576"/>
              <w:left w:val="single" w:sz="4" w:space="0" w:color="008576"/>
              <w:bottom w:val="single" w:sz="4" w:space="0" w:color="008576"/>
              <w:right w:val="single" w:sz="4" w:space="0" w:color="008576"/>
            </w:tcBorders>
            <w:shd w:val="clear" w:color="auto" w:fill="9A4D9E"/>
            <w:vAlign w:val="center"/>
          </w:tcPr>
          <w:p w14:paraId="3DF0F790" w14:textId="7B529905" w:rsidR="005A3382" w:rsidRPr="00B83EF3" w:rsidRDefault="007F1955" w:rsidP="00C006F4">
            <w:pPr>
              <w:rPr>
                <w:rFonts w:cs="Arial"/>
                <w:b/>
                <w:bCs/>
                <w:color w:val="FFFFFF" w:themeColor="background1"/>
              </w:rPr>
            </w:pPr>
            <w:r w:rsidRPr="00B83EF3">
              <w:rPr>
                <w:rFonts w:cs="Arial"/>
                <w:b/>
                <w:bCs/>
                <w:color w:val="FFFFFF" w:themeColor="background1"/>
              </w:rPr>
              <w:t>At what stage is this document in the process?</w:t>
            </w:r>
          </w:p>
        </w:tc>
      </w:tr>
      <w:tr w:rsidR="00D80FEC" w14:paraId="44E8021E" w14:textId="0593297F" w:rsidTr="00AD1AC1">
        <w:trPr>
          <w:trHeight w:val="1020"/>
        </w:trPr>
        <w:tc>
          <w:tcPr>
            <w:tcW w:w="7206" w:type="dxa"/>
            <w:gridSpan w:val="3"/>
            <w:tcBorders>
              <w:top w:val="single" w:sz="4" w:space="0" w:color="008576"/>
              <w:left w:val="single" w:sz="4" w:space="0" w:color="008576"/>
              <w:bottom w:val="single" w:sz="4" w:space="0" w:color="FFFFFF" w:themeColor="background1"/>
              <w:right w:val="single" w:sz="4" w:space="0" w:color="FFFFFF"/>
            </w:tcBorders>
          </w:tcPr>
          <w:p w14:paraId="077C4176" w14:textId="61C63F73" w:rsidR="00D80FEC" w:rsidRPr="003908D8" w:rsidRDefault="00D80FEC" w:rsidP="00D80FEC">
            <w:pPr>
              <w:rPr>
                <w:rFonts w:cs="Arial"/>
                <w:b/>
                <w:bCs/>
                <w:color w:val="008576"/>
                <w:sz w:val="80"/>
                <w:szCs w:val="80"/>
              </w:rPr>
            </w:pPr>
            <w:r w:rsidRPr="003908D8">
              <w:rPr>
                <w:rFonts w:cs="Arial"/>
                <w:b/>
                <w:bCs/>
                <w:color w:val="008576"/>
                <w:sz w:val="80"/>
                <w:szCs w:val="80"/>
              </w:rPr>
              <w:t xml:space="preserve">DCP </w:t>
            </w:r>
            <w:r>
              <w:rPr>
                <w:rFonts w:cs="Arial"/>
                <w:b/>
                <w:bCs/>
                <w:color w:val="008576"/>
                <w:sz w:val="80"/>
                <w:szCs w:val="80"/>
              </w:rPr>
              <w:t>477</w:t>
            </w:r>
          </w:p>
        </w:tc>
        <w:tc>
          <w:tcPr>
            <w:tcW w:w="2422" w:type="dxa"/>
            <w:vMerge w:val="restart"/>
            <w:tcBorders>
              <w:top w:val="single" w:sz="4" w:space="0" w:color="008576"/>
              <w:left w:val="single" w:sz="4" w:space="0" w:color="FFFFFF"/>
              <w:right w:val="single" w:sz="4" w:space="0" w:color="008576"/>
            </w:tcBorders>
            <w:tcMar>
              <w:left w:w="0" w:type="dxa"/>
              <w:right w:w="0" w:type="dxa"/>
            </w:tcMar>
          </w:tcPr>
          <w:tbl>
            <w:tblPr>
              <w:tblStyle w:val="TableGrid"/>
              <w:tblW w:w="2402" w:type="dxa"/>
              <w:tblLook w:val="04A0" w:firstRow="1" w:lastRow="0" w:firstColumn="1" w:lastColumn="0" w:noHBand="0" w:noVBand="1"/>
            </w:tblPr>
            <w:tblGrid>
              <w:gridCol w:w="2402"/>
            </w:tblGrid>
            <w:tr w:rsidR="00D80FEC" w14:paraId="2C33476C"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3DA6345A" w14:textId="34F5F12E" w:rsidR="00D80FEC" w:rsidRPr="009B4657" w:rsidRDefault="00D80FEC" w:rsidP="00D80FEC">
                  <w:pPr>
                    <w:rPr>
                      <w:rFonts w:cs="Arial"/>
                      <w:b/>
                      <w:bCs/>
                      <w:color w:val="00B274"/>
                    </w:rPr>
                  </w:pPr>
                  <w:r>
                    <w:rPr>
                      <w:rFonts w:cs="Arial"/>
                      <w:b/>
                      <w:bCs/>
                      <w:color w:val="00B274"/>
                    </w:rPr>
                    <w:t>0</w:t>
                  </w:r>
                  <w:r w:rsidRPr="009B4657">
                    <w:rPr>
                      <w:rFonts w:cs="Arial"/>
                      <w:b/>
                      <w:bCs/>
                      <w:color w:val="00B274"/>
                    </w:rPr>
                    <w:t>1</w:t>
                  </w:r>
                  <w:r>
                    <w:rPr>
                      <w:rFonts w:cs="Arial"/>
                      <w:b/>
                      <w:bCs/>
                      <w:color w:val="00B274"/>
                    </w:rPr>
                    <w:t xml:space="preserve"> -</w:t>
                  </w:r>
                  <w:r w:rsidRPr="009B4657">
                    <w:rPr>
                      <w:rFonts w:cs="Arial"/>
                      <w:b/>
                      <w:bCs/>
                      <w:color w:val="00B274"/>
                    </w:rPr>
                    <w:t xml:space="preserve"> Change Proposal</w:t>
                  </w:r>
                </w:p>
              </w:tc>
            </w:tr>
            <w:tr w:rsidR="00D80FEC" w14:paraId="4CCACCA2" w14:textId="77777777" w:rsidTr="00043FA9">
              <w:trPr>
                <w:trHeight w:val="1054"/>
              </w:trPr>
              <w:tc>
                <w:tcPr>
                  <w:tcW w:w="2402" w:type="dxa"/>
                  <w:tcBorders>
                    <w:top w:val="single" w:sz="4" w:space="0" w:color="008576"/>
                    <w:left w:val="single" w:sz="4" w:space="0" w:color="008576"/>
                    <w:bottom w:val="single" w:sz="4" w:space="0" w:color="008576"/>
                    <w:right w:val="single" w:sz="4" w:space="0" w:color="008576"/>
                  </w:tcBorders>
                  <w:shd w:val="clear" w:color="auto" w:fill="FFFFFF" w:themeFill="background1"/>
                  <w:vAlign w:val="center"/>
                </w:tcPr>
                <w:p w14:paraId="4647D532" w14:textId="5A325045" w:rsidR="00D80FEC" w:rsidRPr="00043FA9" w:rsidRDefault="00D80FEC" w:rsidP="00D80FEC">
                  <w:pPr>
                    <w:rPr>
                      <w:rFonts w:cs="Arial"/>
                      <w:b/>
                      <w:bCs/>
                      <w:color w:val="0096D7"/>
                    </w:rPr>
                  </w:pPr>
                  <w:r w:rsidRPr="00043FA9">
                    <w:rPr>
                      <w:rFonts w:cs="Arial"/>
                      <w:b/>
                      <w:bCs/>
                      <w:color w:val="0096D7"/>
                    </w:rPr>
                    <w:t>02 - Consultation</w:t>
                  </w:r>
                </w:p>
              </w:tc>
            </w:tr>
            <w:tr w:rsidR="00D80FEC" w14:paraId="3464EB04" w14:textId="77777777" w:rsidTr="00043FA9">
              <w:trPr>
                <w:trHeight w:val="1054"/>
              </w:trPr>
              <w:tc>
                <w:tcPr>
                  <w:tcW w:w="2402" w:type="dxa"/>
                  <w:tcBorders>
                    <w:top w:val="single" w:sz="4" w:space="0" w:color="008576"/>
                    <w:left w:val="single" w:sz="4" w:space="0" w:color="008576"/>
                    <w:bottom w:val="single" w:sz="4" w:space="0" w:color="008576"/>
                    <w:right w:val="single" w:sz="4" w:space="0" w:color="008576"/>
                  </w:tcBorders>
                  <w:shd w:val="clear" w:color="auto" w:fill="9A4D9E"/>
                  <w:vAlign w:val="center"/>
                </w:tcPr>
                <w:p w14:paraId="1B194B28" w14:textId="573E49BF" w:rsidR="00D80FEC" w:rsidRPr="009B4657" w:rsidRDefault="00D80FEC" w:rsidP="00D80FEC">
                  <w:pPr>
                    <w:rPr>
                      <w:rFonts w:cs="Arial"/>
                      <w:b/>
                      <w:bCs/>
                      <w:color w:val="9A4D9E"/>
                    </w:rPr>
                  </w:pPr>
                  <w:r w:rsidRPr="00043FA9">
                    <w:rPr>
                      <w:rFonts w:cs="Arial"/>
                      <w:b/>
                      <w:bCs/>
                      <w:color w:val="FFFFFF" w:themeColor="background1"/>
                    </w:rPr>
                    <w:t>03 - Change Report</w:t>
                  </w:r>
                </w:p>
              </w:tc>
            </w:tr>
            <w:tr w:rsidR="00D80FEC" w14:paraId="63812A30"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E98B5BF" w14:textId="0BA006B2" w:rsidR="00D80FEC" w:rsidRPr="009B4657" w:rsidRDefault="00D80FEC" w:rsidP="00D80FEC">
                  <w:pPr>
                    <w:rPr>
                      <w:rFonts w:cs="Arial"/>
                      <w:b/>
                      <w:bCs/>
                      <w:color w:val="F59114"/>
                    </w:rPr>
                  </w:pPr>
                  <w:r>
                    <w:rPr>
                      <w:rFonts w:cs="Arial"/>
                      <w:b/>
                      <w:bCs/>
                      <w:color w:val="F59114"/>
                    </w:rPr>
                    <w:t>0</w:t>
                  </w:r>
                  <w:r w:rsidRPr="009B4657">
                    <w:rPr>
                      <w:rFonts w:cs="Arial"/>
                      <w:b/>
                      <w:bCs/>
                      <w:color w:val="F59114"/>
                    </w:rPr>
                    <w:t>4</w:t>
                  </w:r>
                  <w:r>
                    <w:rPr>
                      <w:rFonts w:cs="Arial"/>
                      <w:b/>
                      <w:bCs/>
                      <w:color w:val="F59114"/>
                    </w:rPr>
                    <w:t xml:space="preserve"> -</w:t>
                  </w:r>
                  <w:r w:rsidRPr="009B4657">
                    <w:rPr>
                      <w:rFonts w:cs="Arial"/>
                      <w:b/>
                      <w:bCs/>
                      <w:color w:val="F59114"/>
                    </w:rPr>
                    <w:t xml:space="preserve"> Change Declaration</w:t>
                  </w:r>
                </w:p>
              </w:tc>
            </w:tr>
          </w:tbl>
          <w:p w14:paraId="79AB9273" w14:textId="3625E215" w:rsidR="00D80FEC" w:rsidRDefault="00D80FEC" w:rsidP="00D80FEC"/>
        </w:tc>
      </w:tr>
      <w:tr w:rsidR="00D80FEC" w14:paraId="7DC18FD1" w14:textId="1A14B038" w:rsidTr="00AD1AC1">
        <w:trPr>
          <w:trHeight w:val="1938"/>
        </w:trPr>
        <w:tc>
          <w:tcPr>
            <w:tcW w:w="7206" w:type="dxa"/>
            <w:gridSpan w:val="3"/>
            <w:tcBorders>
              <w:top w:val="single" w:sz="4" w:space="0" w:color="FFFFFF" w:themeColor="background1"/>
              <w:left w:val="single" w:sz="4" w:space="0" w:color="008576"/>
              <w:bottom w:val="single" w:sz="4" w:space="0" w:color="FFFFFF" w:themeColor="background1"/>
              <w:right w:val="single" w:sz="4" w:space="0" w:color="FFFFFF"/>
            </w:tcBorders>
          </w:tcPr>
          <w:p w14:paraId="62554EEC" w14:textId="10B35C0B" w:rsidR="00D80FEC" w:rsidRPr="009B4657" w:rsidRDefault="00D80FEC" w:rsidP="00D80FEC">
            <w:pPr>
              <w:rPr>
                <w:rFonts w:cs="Arial"/>
                <w:b/>
                <w:bCs/>
                <w:color w:val="008000"/>
                <w:sz w:val="40"/>
                <w:szCs w:val="40"/>
              </w:rPr>
            </w:pPr>
            <w:r w:rsidRPr="00024AB1">
              <w:rPr>
                <w:rFonts w:cs="Arial"/>
                <w:b/>
                <w:bCs/>
                <w:color w:val="008000"/>
                <w:sz w:val="40"/>
                <w:szCs w:val="40"/>
              </w:rPr>
              <w:t>Managing the effects of excessive surplus residual revenue in the EDCM</w:t>
            </w:r>
          </w:p>
        </w:tc>
        <w:tc>
          <w:tcPr>
            <w:tcW w:w="2422" w:type="dxa"/>
            <w:vMerge/>
            <w:tcBorders>
              <w:left w:val="single" w:sz="4" w:space="0" w:color="FFFFFF"/>
              <w:right w:val="single" w:sz="4" w:space="0" w:color="008576"/>
            </w:tcBorders>
            <w:vAlign w:val="center"/>
          </w:tcPr>
          <w:p w14:paraId="26B90307" w14:textId="521C8088" w:rsidR="00D80FEC" w:rsidRDefault="00D80FEC" w:rsidP="00D80FEC"/>
        </w:tc>
      </w:tr>
      <w:tr w:rsidR="000F4DC5" w14:paraId="55C28978" w14:textId="77777777" w:rsidTr="00AD1AC1">
        <w:trPr>
          <w:trHeight w:val="335"/>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32246A0B" w14:textId="0413B4EE" w:rsidR="000F4DC5" w:rsidRPr="00AD1AC1" w:rsidRDefault="000F4DC5" w:rsidP="000F4DC5">
            <w:pPr>
              <w:rPr>
                <w:rFonts w:cs="Arial"/>
                <w:b/>
                <w:bCs/>
                <w:color w:val="008000"/>
                <w:sz w:val="40"/>
                <w:szCs w:val="40"/>
              </w:rPr>
            </w:pPr>
            <w:r w:rsidRPr="00AD1AC1">
              <w:rPr>
                <w:b/>
                <w:bCs/>
              </w:rPr>
              <w:t>Date Raised:</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F473486" w14:textId="34E7261E" w:rsidR="000F4DC5" w:rsidRPr="009B4657" w:rsidRDefault="000F4DC5" w:rsidP="000F4DC5">
            <w:pPr>
              <w:rPr>
                <w:rFonts w:cs="Arial"/>
                <w:b/>
                <w:bCs/>
                <w:color w:val="008000"/>
                <w:sz w:val="40"/>
                <w:szCs w:val="40"/>
              </w:rPr>
            </w:pPr>
            <w:r>
              <w:t>08/06/2026</w:t>
            </w:r>
          </w:p>
        </w:tc>
        <w:tc>
          <w:tcPr>
            <w:tcW w:w="2422" w:type="dxa"/>
            <w:vMerge/>
            <w:tcBorders>
              <w:left w:val="single" w:sz="4" w:space="0" w:color="FFFFFF"/>
              <w:right w:val="single" w:sz="4" w:space="0" w:color="008576"/>
            </w:tcBorders>
            <w:vAlign w:val="center"/>
          </w:tcPr>
          <w:p w14:paraId="59B6D2D1" w14:textId="77777777" w:rsidR="000F4DC5" w:rsidRDefault="000F4DC5" w:rsidP="000F4DC5"/>
        </w:tc>
      </w:tr>
      <w:tr w:rsidR="000F4DC5" w14:paraId="1F706BD8"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4368DDE6" w14:textId="0F3BFBE3" w:rsidR="000F4DC5" w:rsidRPr="00AD1AC1" w:rsidRDefault="000F4DC5" w:rsidP="000F4DC5">
            <w:pPr>
              <w:rPr>
                <w:rFonts w:cs="Arial"/>
                <w:b/>
                <w:bCs/>
                <w:color w:val="008000"/>
                <w:sz w:val="40"/>
                <w:szCs w:val="40"/>
              </w:rPr>
            </w:pPr>
            <w:r w:rsidRPr="00AD1AC1">
              <w:rPr>
                <w:b/>
                <w:bCs/>
              </w:rPr>
              <w:t>Proposer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43E9194" w14:textId="711036CF" w:rsidR="000F4DC5" w:rsidRPr="009B4657" w:rsidRDefault="000F4DC5" w:rsidP="000F4DC5">
            <w:pPr>
              <w:rPr>
                <w:rFonts w:cs="Arial"/>
                <w:b/>
                <w:bCs/>
                <w:color w:val="008000"/>
                <w:sz w:val="40"/>
                <w:szCs w:val="40"/>
              </w:rPr>
            </w:pPr>
            <w:r>
              <w:t>Emma Clark</w:t>
            </w:r>
          </w:p>
        </w:tc>
        <w:tc>
          <w:tcPr>
            <w:tcW w:w="2422" w:type="dxa"/>
            <w:vMerge/>
            <w:tcBorders>
              <w:left w:val="single" w:sz="4" w:space="0" w:color="FFFFFF"/>
              <w:right w:val="single" w:sz="4" w:space="0" w:color="008576"/>
            </w:tcBorders>
            <w:vAlign w:val="center"/>
          </w:tcPr>
          <w:p w14:paraId="2F63B701" w14:textId="77777777" w:rsidR="000F4DC5" w:rsidRDefault="000F4DC5" w:rsidP="000F4DC5"/>
        </w:tc>
      </w:tr>
      <w:tr w:rsidR="000F4DC5" w14:paraId="2B600A0D"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0F0B588F" w14:textId="0AEC12AF" w:rsidR="000F4DC5" w:rsidRPr="00AD1AC1" w:rsidRDefault="000F4DC5" w:rsidP="000F4DC5">
            <w:pPr>
              <w:rPr>
                <w:rFonts w:cs="Arial"/>
                <w:b/>
                <w:bCs/>
                <w:color w:val="008000"/>
                <w:sz w:val="40"/>
                <w:szCs w:val="40"/>
              </w:rPr>
            </w:pPr>
            <w:r w:rsidRPr="00AD1AC1">
              <w:rPr>
                <w:b/>
                <w:bCs/>
              </w:rPr>
              <w:t>Company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6E60613" w14:textId="087B311E" w:rsidR="000F4DC5" w:rsidRPr="009B4657" w:rsidRDefault="000F4DC5" w:rsidP="000F4DC5">
            <w:pPr>
              <w:rPr>
                <w:rFonts w:cs="Arial"/>
                <w:b/>
                <w:bCs/>
                <w:color w:val="008000"/>
                <w:sz w:val="40"/>
                <w:szCs w:val="40"/>
              </w:rPr>
            </w:pPr>
            <w:r>
              <w:t>Scottish and Southern Electricity Networks</w:t>
            </w:r>
          </w:p>
        </w:tc>
        <w:tc>
          <w:tcPr>
            <w:tcW w:w="2422" w:type="dxa"/>
            <w:vMerge/>
            <w:tcBorders>
              <w:left w:val="single" w:sz="4" w:space="0" w:color="FFFFFF"/>
              <w:right w:val="single" w:sz="4" w:space="0" w:color="008576"/>
            </w:tcBorders>
            <w:vAlign w:val="center"/>
          </w:tcPr>
          <w:p w14:paraId="3183E11E" w14:textId="77777777" w:rsidR="000F4DC5" w:rsidRDefault="000F4DC5" w:rsidP="000F4DC5"/>
        </w:tc>
      </w:tr>
      <w:tr w:rsidR="000F4DC5" w14:paraId="044F70AA" w14:textId="77777777" w:rsidTr="00AD1AC1">
        <w:trPr>
          <w:trHeight w:val="332"/>
        </w:trPr>
        <w:tc>
          <w:tcPr>
            <w:tcW w:w="1838" w:type="dxa"/>
            <w:gridSpan w:val="2"/>
            <w:tcBorders>
              <w:top w:val="single" w:sz="4" w:space="0" w:color="FFFFFF" w:themeColor="background1"/>
              <w:left w:val="single" w:sz="4" w:space="0" w:color="008576"/>
              <w:bottom w:val="single" w:sz="4" w:space="0" w:color="008576"/>
              <w:right w:val="single" w:sz="4" w:space="0" w:color="FFFFFF" w:themeColor="background1"/>
            </w:tcBorders>
          </w:tcPr>
          <w:p w14:paraId="47D9BF01" w14:textId="26FACB14" w:rsidR="000F4DC5" w:rsidRPr="00AD1AC1" w:rsidRDefault="000F4DC5" w:rsidP="000F4DC5">
            <w:pPr>
              <w:rPr>
                <w:rFonts w:cs="Arial"/>
                <w:b/>
                <w:bCs/>
                <w:color w:val="008000"/>
                <w:sz w:val="40"/>
                <w:szCs w:val="40"/>
              </w:rPr>
            </w:pPr>
            <w:r w:rsidRPr="00AD1AC1">
              <w:rPr>
                <w:b/>
                <w:bCs/>
              </w:rPr>
              <w:t>Party Category:</w:t>
            </w:r>
          </w:p>
        </w:tc>
        <w:tc>
          <w:tcPr>
            <w:tcW w:w="5368" w:type="dxa"/>
            <w:tcBorders>
              <w:top w:val="single" w:sz="4" w:space="0" w:color="FFFFFF" w:themeColor="background1"/>
              <w:left w:val="single" w:sz="4" w:space="0" w:color="FFFFFF" w:themeColor="background1"/>
              <w:bottom w:val="single" w:sz="4" w:space="0" w:color="008576"/>
              <w:right w:val="single" w:sz="4" w:space="0" w:color="FFFFFF"/>
            </w:tcBorders>
          </w:tcPr>
          <w:p w14:paraId="1E6E5982" w14:textId="7D47C9BA" w:rsidR="000F4DC5" w:rsidRPr="009B4657" w:rsidRDefault="000F4DC5" w:rsidP="000F4DC5">
            <w:pPr>
              <w:rPr>
                <w:rFonts w:cs="Arial"/>
                <w:b/>
                <w:bCs/>
                <w:color w:val="008000"/>
                <w:sz w:val="40"/>
                <w:szCs w:val="40"/>
              </w:rPr>
            </w:pPr>
            <w:r>
              <w:t>DNO</w:t>
            </w:r>
          </w:p>
        </w:tc>
        <w:tc>
          <w:tcPr>
            <w:tcW w:w="2422" w:type="dxa"/>
            <w:vMerge/>
            <w:tcBorders>
              <w:left w:val="single" w:sz="4" w:space="0" w:color="FFFFFF"/>
              <w:bottom w:val="single" w:sz="4" w:space="0" w:color="008576"/>
              <w:right w:val="single" w:sz="4" w:space="0" w:color="008576"/>
            </w:tcBorders>
            <w:vAlign w:val="center"/>
          </w:tcPr>
          <w:p w14:paraId="0A6CA054" w14:textId="77777777" w:rsidR="000F4DC5" w:rsidRDefault="000F4DC5" w:rsidP="000F4DC5"/>
        </w:tc>
      </w:tr>
      <w:tr w:rsidR="00E61931" w14:paraId="16D2C65F" w14:textId="77777777" w:rsidTr="007B2ED1">
        <w:trPr>
          <w:trHeight w:val="369"/>
        </w:trPr>
        <w:tc>
          <w:tcPr>
            <w:tcW w:w="9628" w:type="dxa"/>
            <w:gridSpan w:val="4"/>
            <w:tcBorders>
              <w:top w:val="single" w:sz="4" w:space="0" w:color="008576"/>
              <w:left w:val="single" w:sz="4" w:space="0" w:color="008576"/>
              <w:bottom w:val="single" w:sz="4" w:space="0" w:color="FFFFFF"/>
              <w:right w:val="single" w:sz="4" w:space="0" w:color="008576"/>
            </w:tcBorders>
            <w:tcMar>
              <w:top w:w="108" w:type="dxa"/>
            </w:tcMar>
          </w:tcPr>
          <w:p w14:paraId="1F22D85A" w14:textId="6CDADEAF" w:rsidR="00E61931" w:rsidRPr="00460446" w:rsidRDefault="009B4657" w:rsidP="007246AD">
            <w:pPr>
              <w:rPr>
                <w:rFonts w:cs="Arial"/>
                <w:b/>
                <w:bCs/>
              </w:rPr>
            </w:pPr>
            <w:r w:rsidRPr="00460446">
              <w:rPr>
                <w:rFonts w:cs="Arial"/>
                <w:b/>
                <w:bCs/>
              </w:rPr>
              <w:t>Purpose of the Change Proposal</w:t>
            </w:r>
          </w:p>
        </w:tc>
      </w:tr>
      <w:tr w:rsidR="003B74C6" w14:paraId="4CB30922" w14:textId="77777777" w:rsidTr="007B2ED1">
        <w:trPr>
          <w:trHeight w:val="580"/>
        </w:trPr>
        <w:tc>
          <w:tcPr>
            <w:tcW w:w="9628" w:type="dxa"/>
            <w:gridSpan w:val="4"/>
            <w:tcBorders>
              <w:top w:val="single" w:sz="4" w:space="0" w:color="FFFFFF"/>
              <w:left w:val="single" w:sz="4" w:space="0" w:color="008576"/>
              <w:bottom w:val="single" w:sz="4" w:space="0" w:color="008576"/>
              <w:right w:val="single" w:sz="4" w:space="0" w:color="008576"/>
            </w:tcBorders>
            <w:tcMar>
              <w:bottom w:w="108" w:type="dxa"/>
            </w:tcMar>
          </w:tcPr>
          <w:p w14:paraId="73061DD2" w14:textId="3996285B" w:rsidR="003B74C6" w:rsidRPr="00460446" w:rsidRDefault="003C7F50" w:rsidP="00B613D0">
            <w:pPr>
              <w:spacing w:line="360" w:lineRule="auto"/>
              <w:rPr>
                <w:rFonts w:cs="Arial"/>
              </w:rPr>
            </w:pPr>
            <w:r w:rsidRPr="003C7F50">
              <w:rPr>
                <w:rFonts w:cs="Arial"/>
              </w:rPr>
              <w:t>The purpose of this Change Proposal (CP) is to include within DCUSA Schedule 17 solutions, previously approved by Ofgem through derogation, which can be applied by affected DNOs in instances of excessive surplus residual revenue within the Forward Cost Pricing (FCP) Extra High Voltage Distribution Charging Methodology (EDCM) model at a tariff set case.</w:t>
            </w:r>
          </w:p>
        </w:tc>
      </w:tr>
      <w:tr w:rsidR="00631786" w14:paraId="54E0A0C1" w14:textId="77777777" w:rsidTr="004F126F">
        <w:trPr>
          <w:trHeight w:val="1274"/>
        </w:trPr>
        <w:tc>
          <w:tcPr>
            <w:tcW w:w="846" w:type="dxa"/>
            <w:tcBorders>
              <w:top w:val="single" w:sz="4" w:space="0" w:color="008576"/>
              <w:left w:val="single" w:sz="4" w:space="0" w:color="008576"/>
              <w:bottom w:val="single" w:sz="4" w:space="0" w:color="008576"/>
              <w:right w:val="single" w:sz="4" w:space="0" w:color="008576"/>
            </w:tcBorders>
            <w:vAlign w:val="center"/>
          </w:tcPr>
          <w:p w14:paraId="65A5875E" w14:textId="09FCCDFE" w:rsidR="00631786" w:rsidRPr="00460446" w:rsidRDefault="004F126F" w:rsidP="004F126F">
            <w:pPr>
              <w:jc w:val="center"/>
              <w:rPr>
                <w:rFonts w:cs="Arial"/>
              </w:rPr>
            </w:pPr>
            <w:r w:rsidRPr="00460446">
              <w:rPr>
                <w:rFonts w:cs="Arial"/>
                <w:noProof/>
              </w:rPr>
              <w:drawing>
                <wp:inline distT="0" distB="0" distL="0" distR="0" wp14:anchorId="42773568" wp14:editId="7248B018">
                  <wp:extent cx="396000" cy="396000"/>
                  <wp:effectExtent l="0" t="0" r="4445" b="4445"/>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008576"/>
              <w:right w:val="single" w:sz="4" w:space="0" w:color="008576"/>
            </w:tcBorders>
            <w:tcMar>
              <w:top w:w="108" w:type="dxa"/>
              <w:bottom w:w="108" w:type="dxa"/>
            </w:tcMar>
          </w:tcPr>
          <w:p w14:paraId="429F3E85" w14:textId="6B270202" w:rsidR="009F078A" w:rsidRDefault="009F078A" w:rsidP="00B613D0">
            <w:pPr>
              <w:spacing w:line="360" w:lineRule="auto"/>
              <w:rPr>
                <w:rFonts w:cs="Arial"/>
              </w:rPr>
            </w:pPr>
            <w:r w:rsidRPr="009F078A">
              <w:rPr>
                <w:rFonts w:cs="Arial"/>
              </w:rPr>
              <w:t xml:space="preserve">This document is issued in accordance with Clause 11.20 of the DCUSA. Parties are invited to consider the proposed amendment and submit their votes using the voting form (attachment 2) to </w:t>
            </w:r>
            <w:hyperlink r:id="rId12" w:history="1">
              <w:r w:rsidRPr="00780CC4">
                <w:rPr>
                  <w:rStyle w:val="Hyperlink"/>
                  <w:rFonts w:cs="Arial"/>
                </w:rPr>
                <w:t>dcusa@electralink.co.uk</w:t>
              </w:r>
            </w:hyperlink>
            <w:r>
              <w:rPr>
                <w:rFonts w:cs="Arial"/>
              </w:rPr>
              <w:t xml:space="preserve"> </w:t>
            </w:r>
            <w:r w:rsidRPr="002B4C4E">
              <w:rPr>
                <w:rFonts w:cs="Arial"/>
                <w:u w:val="single"/>
              </w:rPr>
              <w:t xml:space="preserve">by no later than </w:t>
            </w:r>
            <w:commentRangeStart w:id="0"/>
            <w:r w:rsidR="00E303F0">
              <w:rPr>
                <w:rFonts w:cs="Arial"/>
                <w:u w:val="single"/>
              </w:rPr>
              <w:t>30 September 2026</w:t>
            </w:r>
            <w:commentRangeEnd w:id="0"/>
            <w:r w:rsidR="00E303F0" w:rsidRPr="009F078A">
              <w:rPr>
                <w:rStyle w:val="CommentReference"/>
                <w:rFonts w:cs="Arial"/>
                <w:sz w:val="20"/>
                <w:szCs w:val="22"/>
              </w:rPr>
              <w:commentReference w:id="0"/>
            </w:r>
            <w:r w:rsidRPr="009F078A">
              <w:rPr>
                <w:rFonts w:cs="Arial"/>
              </w:rPr>
              <w:t>. Votes received after this date cannot be counted.</w:t>
            </w:r>
          </w:p>
          <w:p w14:paraId="722E3DD1" w14:textId="1EFC00AD" w:rsidR="009F078A" w:rsidRDefault="009F078A" w:rsidP="00B613D0">
            <w:pPr>
              <w:spacing w:line="360" w:lineRule="auto"/>
              <w:rPr>
                <w:rFonts w:cs="Arial"/>
              </w:rPr>
            </w:pPr>
            <w:r w:rsidRPr="009F078A">
              <w:rPr>
                <w:rFonts w:cs="Arial"/>
              </w:rPr>
              <w:t>The voting process for the proposed variation and the timetable of the progression of the CP through the DCUSA Change Control Process is set out in this document.</w:t>
            </w:r>
          </w:p>
          <w:p w14:paraId="521D9B6E" w14:textId="668A499C" w:rsidR="00631786" w:rsidRPr="00460446" w:rsidRDefault="009F078A" w:rsidP="00B613D0">
            <w:pPr>
              <w:spacing w:line="360" w:lineRule="auto"/>
              <w:rPr>
                <w:rFonts w:cs="Arial"/>
              </w:rPr>
            </w:pPr>
            <w:r w:rsidRPr="009F078A">
              <w:rPr>
                <w:rFonts w:cs="Arial"/>
              </w:rPr>
              <w:t xml:space="preserve">If you have any questions about this paper or the DCUSA Change Process, please contact the DCUSA by email to </w:t>
            </w:r>
            <w:hyperlink r:id="rId17" w:history="1">
              <w:r w:rsidR="00451CCF" w:rsidRPr="00780CC4">
                <w:rPr>
                  <w:rStyle w:val="Hyperlink"/>
                  <w:rFonts w:cs="Arial"/>
                </w:rPr>
                <w:t>dcusa@electralink.co.uk</w:t>
              </w:r>
            </w:hyperlink>
            <w:r w:rsidR="00451CCF">
              <w:rPr>
                <w:rFonts w:cs="Arial"/>
              </w:rPr>
              <w:t xml:space="preserve"> </w:t>
            </w:r>
            <w:r w:rsidRPr="009F078A">
              <w:rPr>
                <w:rFonts w:cs="Arial"/>
              </w:rPr>
              <w:t>or telephone 020 7432 3011.</w:t>
            </w:r>
          </w:p>
        </w:tc>
      </w:tr>
      <w:tr w:rsidR="00254E1A" w14:paraId="24DB78D7" w14:textId="77777777" w:rsidTr="007B2ED1">
        <w:trPr>
          <w:trHeight w:val="341"/>
        </w:trPr>
        <w:tc>
          <w:tcPr>
            <w:tcW w:w="846" w:type="dxa"/>
            <w:vMerge w:val="restart"/>
            <w:tcBorders>
              <w:top w:val="single" w:sz="4" w:space="0" w:color="008576"/>
              <w:left w:val="single" w:sz="4" w:space="0" w:color="008576"/>
              <w:right w:val="single" w:sz="4" w:space="0" w:color="008576"/>
            </w:tcBorders>
            <w:vAlign w:val="center"/>
          </w:tcPr>
          <w:p w14:paraId="0D0EBF1E" w14:textId="5BCAD188" w:rsidR="00254E1A" w:rsidRPr="00FD0ACB" w:rsidRDefault="004F126F" w:rsidP="00DC4B21">
            <w:pPr>
              <w:jc w:val="center"/>
            </w:pPr>
            <w:r>
              <w:rPr>
                <w:rFonts w:cs="Arial"/>
                <w:noProof/>
                <w:lang w:val="en-US"/>
              </w:rPr>
              <w:drawing>
                <wp:inline distT="0" distB="0" distL="0" distR="0" wp14:anchorId="0ED53489" wp14:editId="244D355A">
                  <wp:extent cx="396000" cy="396000"/>
                  <wp:effectExtent l="0" t="0" r="4445" b="4445"/>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8"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09C6A603" w14:textId="4F375BE2" w:rsidR="00254E1A" w:rsidRPr="00A208F7" w:rsidRDefault="00876F7A" w:rsidP="00B613D0">
            <w:pPr>
              <w:spacing w:line="360" w:lineRule="auto"/>
              <w:rPr>
                <w:rFonts w:cs="Arial"/>
                <w:b/>
                <w:bCs/>
              </w:rPr>
            </w:pPr>
            <w:r w:rsidRPr="00A208F7">
              <w:rPr>
                <w:rFonts w:cs="Arial"/>
                <w:b/>
                <w:bCs/>
              </w:rPr>
              <w:t>Impacted Parties</w:t>
            </w:r>
          </w:p>
        </w:tc>
      </w:tr>
      <w:tr w:rsidR="00254E1A" w14:paraId="67814065" w14:textId="77777777" w:rsidTr="004F126F">
        <w:trPr>
          <w:trHeight w:val="580"/>
        </w:trPr>
        <w:tc>
          <w:tcPr>
            <w:tcW w:w="846" w:type="dxa"/>
            <w:vMerge/>
            <w:tcBorders>
              <w:left w:val="single" w:sz="4" w:space="0" w:color="008576"/>
              <w:bottom w:val="single" w:sz="4" w:space="0" w:color="008576"/>
              <w:right w:val="single" w:sz="4" w:space="0" w:color="008576"/>
            </w:tcBorders>
            <w:vAlign w:val="center"/>
          </w:tcPr>
          <w:p w14:paraId="2B1249A9" w14:textId="77777777" w:rsidR="00254E1A" w:rsidRDefault="00254E1A" w:rsidP="00DC4B21">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77A09BAD" w14:textId="45AEF8EB" w:rsidR="00254E1A" w:rsidRPr="00A208F7" w:rsidRDefault="00A208F7" w:rsidP="00B613D0">
            <w:pPr>
              <w:spacing w:line="360" w:lineRule="auto"/>
              <w:rPr>
                <w:rFonts w:cs="Arial"/>
              </w:rPr>
            </w:pPr>
            <w:r w:rsidRPr="00A208F7">
              <w:rPr>
                <w:rFonts w:cs="Arial"/>
              </w:rPr>
              <w:t>Suppliers</w:t>
            </w:r>
            <w:r w:rsidR="008069E3">
              <w:rPr>
                <w:rFonts w:cs="Arial"/>
              </w:rPr>
              <w:t xml:space="preserve">, </w:t>
            </w:r>
            <w:r w:rsidRPr="00A208F7">
              <w:rPr>
                <w:rFonts w:cs="Arial"/>
              </w:rPr>
              <w:t>DNOs</w:t>
            </w:r>
            <w:r w:rsidR="008069E3">
              <w:rPr>
                <w:rFonts w:cs="Arial"/>
              </w:rPr>
              <w:t xml:space="preserve">, </w:t>
            </w:r>
            <w:r w:rsidRPr="00A208F7">
              <w:rPr>
                <w:rFonts w:cs="Arial"/>
              </w:rPr>
              <w:t>IDNOs</w:t>
            </w:r>
            <w:r w:rsidR="008069E3">
              <w:rPr>
                <w:rFonts w:cs="Arial"/>
              </w:rPr>
              <w:t xml:space="preserve"> and </w:t>
            </w:r>
            <w:r w:rsidRPr="00A208F7">
              <w:rPr>
                <w:rFonts w:cs="Arial"/>
              </w:rPr>
              <w:t>CVA Registrants</w:t>
            </w:r>
          </w:p>
        </w:tc>
      </w:tr>
      <w:tr w:rsidR="00A208F7" w14:paraId="684BAA54" w14:textId="77777777" w:rsidTr="007B2ED1">
        <w:trPr>
          <w:trHeight w:val="397"/>
        </w:trPr>
        <w:tc>
          <w:tcPr>
            <w:tcW w:w="846" w:type="dxa"/>
            <w:vMerge w:val="restart"/>
            <w:tcBorders>
              <w:top w:val="single" w:sz="4" w:space="0" w:color="008576"/>
              <w:left w:val="single" w:sz="4" w:space="0" w:color="008576"/>
              <w:right w:val="single" w:sz="4" w:space="0" w:color="008576"/>
            </w:tcBorders>
            <w:vAlign w:val="center"/>
          </w:tcPr>
          <w:p w14:paraId="16F3ECC4" w14:textId="0AE2127B" w:rsidR="00A208F7" w:rsidRPr="00FD0ACB" w:rsidRDefault="004F126F" w:rsidP="00696638">
            <w:pPr>
              <w:jc w:val="center"/>
            </w:pPr>
            <w:r>
              <w:rPr>
                <w:rFonts w:cs="Arial"/>
                <w:noProof/>
                <w:lang w:val="en-US"/>
              </w:rPr>
              <w:drawing>
                <wp:inline distT="0" distB="0" distL="0" distR="0" wp14:anchorId="1DEB9ED3" wp14:editId="7338C995">
                  <wp:extent cx="396000" cy="396000"/>
                  <wp:effectExtent l="0" t="0" r="4445" b="4445"/>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8"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26CED846" w14:textId="611F7F0D" w:rsidR="00A208F7" w:rsidRPr="004143E3" w:rsidRDefault="00A208F7" w:rsidP="00B613D0">
            <w:pPr>
              <w:spacing w:line="360" w:lineRule="auto"/>
              <w:rPr>
                <w:rFonts w:cs="Arial"/>
                <w:b/>
                <w:bCs/>
              </w:rPr>
            </w:pPr>
            <w:r w:rsidRPr="004143E3">
              <w:rPr>
                <w:rFonts w:cs="Arial"/>
                <w:b/>
                <w:bCs/>
              </w:rPr>
              <w:t xml:space="preserve">Impacted </w:t>
            </w:r>
            <w:r w:rsidR="004143E3" w:rsidRPr="004143E3">
              <w:rPr>
                <w:rFonts w:cs="Arial"/>
                <w:b/>
                <w:bCs/>
              </w:rPr>
              <w:t>Clauses</w:t>
            </w:r>
          </w:p>
        </w:tc>
      </w:tr>
      <w:tr w:rsidR="00A208F7" w14:paraId="61AC51B2" w14:textId="77777777" w:rsidTr="007B2ED1">
        <w:trPr>
          <w:trHeight w:val="580"/>
        </w:trPr>
        <w:tc>
          <w:tcPr>
            <w:tcW w:w="846" w:type="dxa"/>
            <w:vMerge/>
            <w:tcBorders>
              <w:left w:val="single" w:sz="4" w:space="0" w:color="008576"/>
              <w:bottom w:val="single" w:sz="4" w:space="0" w:color="008576"/>
              <w:right w:val="single" w:sz="4" w:space="0" w:color="008576"/>
            </w:tcBorders>
            <w:vAlign w:val="center"/>
          </w:tcPr>
          <w:p w14:paraId="1DBFE94B" w14:textId="77777777" w:rsidR="00A208F7" w:rsidRDefault="00A208F7" w:rsidP="00696638">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66659259" w14:textId="63C11396" w:rsidR="00A208F7" w:rsidRPr="004143E3" w:rsidRDefault="002A3666" w:rsidP="00B613D0">
            <w:pPr>
              <w:spacing w:line="360" w:lineRule="auto"/>
              <w:rPr>
                <w:rFonts w:cs="Arial"/>
              </w:rPr>
            </w:pPr>
            <w:r w:rsidRPr="002A3666">
              <w:rPr>
                <w:rFonts w:cs="Arial"/>
              </w:rPr>
              <w:t>Schedule 17 (New Paragraphs)</w:t>
            </w:r>
          </w:p>
        </w:tc>
      </w:tr>
    </w:tbl>
    <w:p w14:paraId="5D21232F" w14:textId="59478D31" w:rsidR="004B0ED6" w:rsidRDefault="004B0ED6"/>
    <w:p w14:paraId="2900822B" w14:textId="77777777" w:rsidR="004B0ED6" w:rsidRDefault="004B0ED6">
      <w:r>
        <w:br w:type="page"/>
      </w:r>
    </w:p>
    <w:tbl>
      <w:tblPr>
        <w:tblStyle w:val="TableGrid"/>
        <w:tblW w:w="0" w:type="auto"/>
        <w:tblLayout w:type="fixed"/>
        <w:tblCellMar>
          <w:top w:w="57" w:type="dxa"/>
          <w:bottom w:w="57" w:type="dxa"/>
        </w:tblCellMar>
        <w:tblLook w:val="04A0" w:firstRow="1" w:lastRow="0" w:firstColumn="1" w:lastColumn="0" w:noHBand="0" w:noVBand="1"/>
      </w:tblPr>
      <w:tblGrid>
        <w:gridCol w:w="6516"/>
        <w:gridCol w:w="3112"/>
      </w:tblGrid>
      <w:tr w:rsidR="00422A1E" w14:paraId="666FF339" w14:textId="77777777" w:rsidTr="00150AC5">
        <w:trPr>
          <w:trHeight w:val="282"/>
        </w:trPr>
        <w:tc>
          <w:tcPr>
            <w:tcW w:w="6516" w:type="dxa"/>
            <w:tcBorders>
              <w:top w:val="single" w:sz="4" w:space="0" w:color="008576"/>
              <w:left w:val="single" w:sz="4" w:space="0" w:color="008576"/>
              <w:bottom w:val="single" w:sz="4" w:space="0" w:color="008576"/>
              <w:right w:val="single" w:sz="4" w:space="0" w:color="008576"/>
            </w:tcBorders>
            <w:shd w:val="clear" w:color="auto" w:fill="9A4D9E"/>
            <w:tcMar>
              <w:top w:w="108" w:type="dxa"/>
              <w:bottom w:w="108" w:type="dxa"/>
            </w:tcMar>
          </w:tcPr>
          <w:p w14:paraId="25ABCC58" w14:textId="470E0D26" w:rsidR="00422A1E" w:rsidRPr="005A7542" w:rsidRDefault="00422A1E">
            <w:pPr>
              <w:rPr>
                <w:rFonts w:cs="Arial"/>
                <w:b/>
                <w:bCs/>
                <w:sz w:val="28"/>
                <w:szCs w:val="28"/>
              </w:rPr>
            </w:pPr>
            <w:r w:rsidRPr="005A7542">
              <w:rPr>
                <w:rFonts w:cs="Arial"/>
                <w:b/>
                <w:bCs/>
                <w:color w:val="FFFFFF" w:themeColor="background1"/>
                <w:sz w:val="28"/>
                <w:szCs w:val="28"/>
              </w:rPr>
              <w:lastRenderedPageBreak/>
              <w:t>Contents</w:t>
            </w:r>
          </w:p>
        </w:tc>
        <w:tc>
          <w:tcPr>
            <w:tcW w:w="3112" w:type="dxa"/>
            <w:tcBorders>
              <w:top w:val="single" w:sz="4" w:space="0" w:color="008576"/>
              <w:left w:val="single" w:sz="4" w:space="0" w:color="008576"/>
              <w:bottom w:val="single" w:sz="4" w:space="0" w:color="008576"/>
              <w:right w:val="single" w:sz="4" w:space="0" w:color="008576"/>
            </w:tcBorders>
            <w:tcMar>
              <w:left w:w="0" w:type="dxa"/>
              <w:right w:w="0" w:type="dxa"/>
            </w:tcMar>
          </w:tcPr>
          <w:p w14:paraId="73001D46" w14:textId="3C4CC976" w:rsidR="00422A1E" w:rsidRPr="006A16BB" w:rsidRDefault="006A16BB" w:rsidP="00C60A83">
            <w:pPr>
              <w:ind w:left="108"/>
              <w:rPr>
                <w:b/>
                <w:bCs/>
                <w:color w:val="008576"/>
                <w:sz w:val="28"/>
                <w:szCs w:val="28"/>
              </w:rPr>
            </w:pPr>
            <w:r w:rsidRPr="006A16BB">
              <w:rPr>
                <w:rFonts w:cs="Arial"/>
                <w:b/>
                <w:bCs/>
                <w:noProof/>
                <w:sz w:val="28"/>
                <w:szCs w:val="28"/>
                <w:lang w:val="en-US"/>
              </w:rPr>
              <w:drawing>
                <wp:inline distT="0" distB="0" distL="0" distR="0" wp14:anchorId="68D982C4" wp14:editId="7B7A7D4E">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691664" w:rsidRPr="006A16BB">
              <w:rPr>
                <w:b/>
                <w:bCs/>
                <w:color w:val="008576"/>
                <w:sz w:val="28"/>
                <w:szCs w:val="28"/>
              </w:rPr>
              <w:t>Any Questions?</w:t>
            </w:r>
          </w:p>
        </w:tc>
      </w:tr>
      <w:tr w:rsidR="004957F7" w14:paraId="1D3D6D40" w14:textId="77777777" w:rsidTr="004F126F">
        <w:trPr>
          <w:trHeight w:val="410"/>
        </w:trPr>
        <w:tc>
          <w:tcPr>
            <w:tcW w:w="6516" w:type="dxa"/>
            <w:vMerge w:val="restart"/>
            <w:tcBorders>
              <w:top w:val="single" w:sz="4" w:space="0" w:color="008576"/>
              <w:left w:val="single" w:sz="4" w:space="0" w:color="008576"/>
              <w:right w:val="single" w:sz="4" w:space="0" w:color="008576"/>
            </w:tcBorders>
          </w:tcPr>
          <w:p w14:paraId="40114D28" w14:textId="3F484927" w:rsidR="00950AE9" w:rsidRDefault="004957F7">
            <w:pPr>
              <w:pStyle w:val="TOC1"/>
              <w:rPr>
                <w:rFonts w:asciiTheme="minorHAnsi" w:eastAsiaTheme="minorEastAsia" w:hAnsiTheme="minorHAnsi"/>
                <w:b w:val="0"/>
                <w:noProof/>
                <w:color w:val="auto"/>
                <w:szCs w:val="24"/>
                <w:lang w:eastAsia="en-GB"/>
              </w:rPr>
            </w:pPr>
            <w:r w:rsidRPr="000D26FB">
              <w:rPr>
                <w:sz w:val="20"/>
                <w:szCs w:val="18"/>
              </w:rPr>
              <w:fldChar w:fldCharType="begin"/>
            </w:r>
            <w:r w:rsidRPr="000D26FB">
              <w:rPr>
                <w:sz w:val="20"/>
                <w:szCs w:val="18"/>
              </w:rPr>
              <w:instrText xml:space="preserve"> TOC \o "1-1" \u </w:instrText>
            </w:r>
            <w:r w:rsidRPr="000D26FB">
              <w:rPr>
                <w:sz w:val="20"/>
                <w:szCs w:val="18"/>
              </w:rPr>
              <w:fldChar w:fldCharType="separate"/>
            </w:r>
            <w:r w:rsidR="00950AE9">
              <w:rPr>
                <w:noProof/>
              </w:rPr>
              <w:t>1</w:t>
            </w:r>
            <w:r w:rsidR="00950AE9">
              <w:rPr>
                <w:rFonts w:asciiTheme="minorHAnsi" w:eastAsiaTheme="minorEastAsia" w:hAnsiTheme="minorHAnsi"/>
                <w:b w:val="0"/>
                <w:noProof/>
                <w:color w:val="auto"/>
                <w:szCs w:val="24"/>
                <w:lang w:eastAsia="en-GB"/>
              </w:rPr>
              <w:tab/>
            </w:r>
            <w:r w:rsidR="00950AE9">
              <w:rPr>
                <w:noProof/>
              </w:rPr>
              <w:t>Summary</w:t>
            </w:r>
            <w:r w:rsidR="00950AE9">
              <w:rPr>
                <w:noProof/>
              </w:rPr>
              <w:tab/>
            </w:r>
            <w:r w:rsidR="00950AE9">
              <w:rPr>
                <w:noProof/>
              </w:rPr>
              <w:fldChar w:fldCharType="begin"/>
            </w:r>
            <w:r w:rsidR="00950AE9">
              <w:rPr>
                <w:noProof/>
              </w:rPr>
              <w:instrText xml:space="preserve"> PAGEREF _Toc235084433 \h </w:instrText>
            </w:r>
            <w:r w:rsidR="00950AE9">
              <w:rPr>
                <w:noProof/>
              </w:rPr>
            </w:r>
            <w:r w:rsidR="00950AE9">
              <w:rPr>
                <w:noProof/>
              </w:rPr>
              <w:fldChar w:fldCharType="separate"/>
            </w:r>
            <w:r w:rsidR="00A418FE">
              <w:rPr>
                <w:noProof/>
              </w:rPr>
              <w:t>3</w:t>
            </w:r>
            <w:r w:rsidR="00950AE9">
              <w:rPr>
                <w:noProof/>
              </w:rPr>
              <w:fldChar w:fldCharType="end"/>
            </w:r>
          </w:p>
          <w:p w14:paraId="72C9CE85" w14:textId="3D208B6F" w:rsidR="00950AE9" w:rsidRDefault="00950AE9">
            <w:pPr>
              <w:pStyle w:val="TOC1"/>
              <w:rPr>
                <w:rFonts w:asciiTheme="minorHAnsi" w:eastAsiaTheme="minorEastAsia" w:hAnsiTheme="minorHAnsi"/>
                <w:b w:val="0"/>
                <w:noProof/>
                <w:color w:val="auto"/>
                <w:szCs w:val="24"/>
                <w:lang w:eastAsia="en-GB"/>
              </w:rPr>
            </w:pPr>
            <w:r>
              <w:rPr>
                <w:noProof/>
              </w:rPr>
              <w:t>2</w:t>
            </w:r>
            <w:r>
              <w:rPr>
                <w:rFonts w:asciiTheme="minorHAnsi" w:eastAsiaTheme="minorEastAsia" w:hAnsiTheme="minorHAnsi"/>
                <w:b w:val="0"/>
                <w:noProof/>
                <w:color w:val="auto"/>
                <w:szCs w:val="24"/>
                <w:lang w:eastAsia="en-GB"/>
              </w:rPr>
              <w:tab/>
            </w:r>
            <w:r>
              <w:rPr>
                <w:noProof/>
              </w:rPr>
              <w:t>Governance</w:t>
            </w:r>
            <w:r>
              <w:rPr>
                <w:noProof/>
              </w:rPr>
              <w:tab/>
            </w:r>
            <w:r>
              <w:rPr>
                <w:noProof/>
              </w:rPr>
              <w:fldChar w:fldCharType="begin"/>
            </w:r>
            <w:r>
              <w:rPr>
                <w:noProof/>
              </w:rPr>
              <w:instrText xml:space="preserve"> PAGEREF _Toc235084434 \h </w:instrText>
            </w:r>
            <w:r>
              <w:rPr>
                <w:noProof/>
              </w:rPr>
            </w:r>
            <w:r>
              <w:rPr>
                <w:noProof/>
              </w:rPr>
              <w:fldChar w:fldCharType="separate"/>
            </w:r>
            <w:r w:rsidR="00A418FE">
              <w:rPr>
                <w:noProof/>
              </w:rPr>
              <w:t>4</w:t>
            </w:r>
            <w:r>
              <w:rPr>
                <w:noProof/>
              </w:rPr>
              <w:fldChar w:fldCharType="end"/>
            </w:r>
          </w:p>
          <w:p w14:paraId="4304C019" w14:textId="0BD6B48B" w:rsidR="00950AE9" w:rsidRDefault="00950AE9">
            <w:pPr>
              <w:pStyle w:val="TOC1"/>
              <w:rPr>
                <w:rFonts w:asciiTheme="minorHAnsi" w:eastAsiaTheme="minorEastAsia" w:hAnsiTheme="minorHAnsi"/>
                <w:b w:val="0"/>
                <w:noProof/>
                <w:color w:val="auto"/>
                <w:szCs w:val="24"/>
                <w:lang w:eastAsia="en-GB"/>
              </w:rPr>
            </w:pPr>
            <w:r>
              <w:rPr>
                <w:noProof/>
              </w:rPr>
              <w:t>3</w:t>
            </w:r>
            <w:r>
              <w:rPr>
                <w:rFonts w:asciiTheme="minorHAnsi" w:eastAsiaTheme="minorEastAsia" w:hAnsiTheme="minorHAnsi"/>
                <w:b w:val="0"/>
                <w:noProof/>
                <w:color w:val="auto"/>
                <w:szCs w:val="24"/>
                <w:lang w:eastAsia="en-GB"/>
              </w:rPr>
              <w:tab/>
            </w:r>
            <w:r>
              <w:rPr>
                <w:noProof/>
              </w:rPr>
              <w:t>Why Change?</w:t>
            </w:r>
            <w:r>
              <w:rPr>
                <w:noProof/>
              </w:rPr>
              <w:tab/>
            </w:r>
            <w:r>
              <w:rPr>
                <w:noProof/>
              </w:rPr>
              <w:fldChar w:fldCharType="begin"/>
            </w:r>
            <w:r>
              <w:rPr>
                <w:noProof/>
              </w:rPr>
              <w:instrText xml:space="preserve"> PAGEREF _Toc235084435 \h </w:instrText>
            </w:r>
            <w:r>
              <w:rPr>
                <w:noProof/>
              </w:rPr>
            </w:r>
            <w:r>
              <w:rPr>
                <w:noProof/>
              </w:rPr>
              <w:fldChar w:fldCharType="separate"/>
            </w:r>
            <w:r w:rsidR="00A418FE">
              <w:rPr>
                <w:noProof/>
              </w:rPr>
              <w:t>4</w:t>
            </w:r>
            <w:r>
              <w:rPr>
                <w:noProof/>
              </w:rPr>
              <w:fldChar w:fldCharType="end"/>
            </w:r>
          </w:p>
          <w:p w14:paraId="284A5B9F" w14:textId="094393C1" w:rsidR="00950AE9" w:rsidRDefault="00950AE9">
            <w:pPr>
              <w:pStyle w:val="TOC1"/>
              <w:rPr>
                <w:rFonts w:asciiTheme="minorHAnsi" w:eastAsiaTheme="minorEastAsia" w:hAnsiTheme="minorHAnsi"/>
                <w:b w:val="0"/>
                <w:noProof/>
                <w:color w:val="auto"/>
                <w:szCs w:val="24"/>
                <w:lang w:eastAsia="en-GB"/>
              </w:rPr>
            </w:pPr>
            <w:r>
              <w:rPr>
                <w:noProof/>
              </w:rPr>
              <w:t>4</w:t>
            </w:r>
            <w:r>
              <w:rPr>
                <w:rFonts w:asciiTheme="minorHAnsi" w:eastAsiaTheme="minorEastAsia" w:hAnsiTheme="minorHAnsi"/>
                <w:b w:val="0"/>
                <w:noProof/>
                <w:color w:val="auto"/>
                <w:szCs w:val="24"/>
                <w:lang w:eastAsia="en-GB"/>
              </w:rPr>
              <w:tab/>
            </w:r>
            <w:r>
              <w:rPr>
                <w:noProof/>
              </w:rPr>
              <w:t>Working Group Initial Assessment</w:t>
            </w:r>
            <w:r>
              <w:rPr>
                <w:noProof/>
              </w:rPr>
              <w:tab/>
            </w:r>
            <w:r>
              <w:rPr>
                <w:noProof/>
              </w:rPr>
              <w:fldChar w:fldCharType="begin"/>
            </w:r>
            <w:r>
              <w:rPr>
                <w:noProof/>
              </w:rPr>
              <w:instrText xml:space="preserve"> PAGEREF _Toc235084436 \h </w:instrText>
            </w:r>
            <w:r>
              <w:rPr>
                <w:noProof/>
              </w:rPr>
            </w:r>
            <w:r>
              <w:rPr>
                <w:noProof/>
              </w:rPr>
              <w:fldChar w:fldCharType="separate"/>
            </w:r>
            <w:r w:rsidR="00A418FE">
              <w:rPr>
                <w:noProof/>
              </w:rPr>
              <w:t>4</w:t>
            </w:r>
            <w:r>
              <w:rPr>
                <w:noProof/>
              </w:rPr>
              <w:fldChar w:fldCharType="end"/>
            </w:r>
          </w:p>
          <w:p w14:paraId="47A9A2C0" w14:textId="00124245" w:rsidR="00950AE9" w:rsidRDefault="00950AE9">
            <w:pPr>
              <w:pStyle w:val="TOC1"/>
              <w:rPr>
                <w:rFonts w:asciiTheme="minorHAnsi" w:eastAsiaTheme="minorEastAsia" w:hAnsiTheme="minorHAnsi"/>
                <w:b w:val="0"/>
                <w:noProof/>
                <w:color w:val="auto"/>
                <w:szCs w:val="24"/>
                <w:lang w:eastAsia="en-GB"/>
              </w:rPr>
            </w:pPr>
            <w:r>
              <w:rPr>
                <w:noProof/>
              </w:rPr>
              <w:t>5</w:t>
            </w:r>
            <w:r>
              <w:rPr>
                <w:rFonts w:asciiTheme="minorHAnsi" w:eastAsiaTheme="minorEastAsia" w:hAnsiTheme="minorHAnsi"/>
                <w:b w:val="0"/>
                <w:noProof/>
                <w:color w:val="auto"/>
                <w:szCs w:val="24"/>
                <w:lang w:eastAsia="en-GB"/>
              </w:rPr>
              <w:tab/>
            </w:r>
            <w:r>
              <w:rPr>
                <w:noProof/>
              </w:rPr>
              <w:t>Working Group Consultation Review</w:t>
            </w:r>
            <w:r>
              <w:rPr>
                <w:noProof/>
              </w:rPr>
              <w:tab/>
            </w:r>
            <w:r>
              <w:rPr>
                <w:noProof/>
              </w:rPr>
              <w:fldChar w:fldCharType="begin"/>
            </w:r>
            <w:r>
              <w:rPr>
                <w:noProof/>
              </w:rPr>
              <w:instrText xml:space="preserve"> PAGEREF _Toc235084437 \h </w:instrText>
            </w:r>
            <w:r>
              <w:rPr>
                <w:noProof/>
              </w:rPr>
            </w:r>
            <w:r>
              <w:rPr>
                <w:noProof/>
              </w:rPr>
              <w:fldChar w:fldCharType="separate"/>
            </w:r>
            <w:r w:rsidR="00A418FE">
              <w:rPr>
                <w:noProof/>
              </w:rPr>
              <w:t>5</w:t>
            </w:r>
            <w:r>
              <w:rPr>
                <w:noProof/>
              </w:rPr>
              <w:fldChar w:fldCharType="end"/>
            </w:r>
          </w:p>
          <w:p w14:paraId="51D57E3C" w14:textId="2431AF80" w:rsidR="00950AE9" w:rsidRDefault="00950AE9">
            <w:pPr>
              <w:pStyle w:val="TOC1"/>
              <w:rPr>
                <w:rFonts w:asciiTheme="minorHAnsi" w:eastAsiaTheme="minorEastAsia" w:hAnsiTheme="minorHAnsi"/>
                <w:b w:val="0"/>
                <w:noProof/>
                <w:color w:val="auto"/>
                <w:szCs w:val="24"/>
                <w:lang w:eastAsia="en-GB"/>
              </w:rPr>
            </w:pPr>
            <w:r>
              <w:rPr>
                <w:noProof/>
              </w:rPr>
              <w:t>6</w:t>
            </w:r>
            <w:r>
              <w:rPr>
                <w:rFonts w:asciiTheme="minorHAnsi" w:eastAsiaTheme="minorEastAsia" w:hAnsiTheme="minorHAnsi"/>
                <w:b w:val="0"/>
                <w:noProof/>
                <w:color w:val="auto"/>
                <w:szCs w:val="24"/>
                <w:lang w:eastAsia="en-GB"/>
              </w:rPr>
              <w:tab/>
            </w:r>
            <w:r>
              <w:rPr>
                <w:noProof/>
              </w:rPr>
              <w:t>Working Group Conclusions &amp; Final Solution</w:t>
            </w:r>
            <w:r>
              <w:rPr>
                <w:noProof/>
              </w:rPr>
              <w:tab/>
            </w:r>
            <w:r>
              <w:rPr>
                <w:noProof/>
              </w:rPr>
              <w:fldChar w:fldCharType="begin"/>
            </w:r>
            <w:r>
              <w:rPr>
                <w:noProof/>
              </w:rPr>
              <w:instrText xml:space="preserve"> PAGEREF _Toc235084438 \h </w:instrText>
            </w:r>
            <w:r>
              <w:rPr>
                <w:noProof/>
              </w:rPr>
            </w:r>
            <w:r>
              <w:rPr>
                <w:noProof/>
              </w:rPr>
              <w:fldChar w:fldCharType="separate"/>
            </w:r>
            <w:r w:rsidR="00A418FE">
              <w:rPr>
                <w:noProof/>
              </w:rPr>
              <w:t>9</w:t>
            </w:r>
            <w:r>
              <w:rPr>
                <w:noProof/>
              </w:rPr>
              <w:fldChar w:fldCharType="end"/>
            </w:r>
          </w:p>
          <w:p w14:paraId="06589F83" w14:textId="5B540D23" w:rsidR="00950AE9" w:rsidRDefault="00950AE9">
            <w:pPr>
              <w:pStyle w:val="TOC1"/>
              <w:rPr>
                <w:rFonts w:asciiTheme="minorHAnsi" w:eastAsiaTheme="minorEastAsia" w:hAnsiTheme="minorHAnsi"/>
                <w:b w:val="0"/>
                <w:noProof/>
                <w:color w:val="auto"/>
                <w:szCs w:val="24"/>
                <w:lang w:eastAsia="en-GB"/>
              </w:rPr>
            </w:pPr>
            <w:r>
              <w:rPr>
                <w:noProof/>
              </w:rPr>
              <w:t>7</w:t>
            </w:r>
            <w:r>
              <w:rPr>
                <w:rFonts w:asciiTheme="minorHAnsi" w:eastAsiaTheme="minorEastAsia" w:hAnsiTheme="minorHAnsi"/>
                <w:b w:val="0"/>
                <w:noProof/>
                <w:color w:val="auto"/>
                <w:szCs w:val="24"/>
                <w:lang w:eastAsia="en-GB"/>
              </w:rPr>
              <w:tab/>
            </w:r>
            <w:r>
              <w:rPr>
                <w:noProof/>
              </w:rPr>
              <w:t>Relevant Objectives</w:t>
            </w:r>
            <w:r>
              <w:rPr>
                <w:noProof/>
              </w:rPr>
              <w:tab/>
            </w:r>
            <w:r>
              <w:rPr>
                <w:noProof/>
              </w:rPr>
              <w:fldChar w:fldCharType="begin"/>
            </w:r>
            <w:r>
              <w:rPr>
                <w:noProof/>
              </w:rPr>
              <w:instrText xml:space="preserve"> PAGEREF _Toc235084439 \h </w:instrText>
            </w:r>
            <w:r>
              <w:rPr>
                <w:noProof/>
              </w:rPr>
            </w:r>
            <w:r>
              <w:rPr>
                <w:noProof/>
              </w:rPr>
              <w:fldChar w:fldCharType="separate"/>
            </w:r>
            <w:r w:rsidR="00A418FE">
              <w:rPr>
                <w:noProof/>
              </w:rPr>
              <w:t>10</w:t>
            </w:r>
            <w:r>
              <w:rPr>
                <w:noProof/>
              </w:rPr>
              <w:fldChar w:fldCharType="end"/>
            </w:r>
          </w:p>
          <w:p w14:paraId="10EC24A8" w14:textId="18E14379" w:rsidR="00950AE9" w:rsidRDefault="00950AE9">
            <w:pPr>
              <w:pStyle w:val="TOC1"/>
              <w:rPr>
                <w:rFonts w:asciiTheme="minorHAnsi" w:eastAsiaTheme="minorEastAsia" w:hAnsiTheme="minorHAnsi"/>
                <w:b w:val="0"/>
                <w:noProof/>
                <w:color w:val="auto"/>
                <w:szCs w:val="24"/>
                <w:lang w:eastAsia="en-GB"/>
              </w:rPr>
            </w:pPr>
            <w:r>
              <w:rPr>
                <w:noProof/>
              </w:rPr>
              <w:t>8</w:t>
            </w:r>
            <w:r>
              <w:rPr>
                <w:rFonts w:asciiTheme="minorHAnsi" w:eastAsiaTheme="minorEastAsia" w:hAnsiTheme="minorHAnsi"/>
                <w:b w:val="0"/>
                <w:noProof/>
                <w:color w:val="auto"/>
                <w:szCs w:val="24"/>
                <w:lang w:eastAsia="en-GB"/>
              </w:rPr>
              <w:tab/>
            </w:r>
            <w:r>
              <w:rPr>
                <w:noProof/>
              </w:rPr>
              <w:t>Impacts &amp; Other Considerations</w:t>
            </w:r>
            <w:r>
              <w:rPr>
                <w:noProof/>
              </w:rPr>
              <w:tab/>
            </w:r>
            <w:r>
              <w:rPr>
                <w:noProof/>
              </w:rPr>
              <w:fldChar w:fldCharType="begin"/>
            </w:r>
            <w:r>
              <w:rPr>
                <w:noProof/>
              </w:rPr>
              <w:instrText xml:space="preserve"> PAGEREF _Toc235084440 \h </w:instrText>
            </w:r>
            <w:r>
              <w:rPr>
                <w:noProof/>
              </w:rPr>
            </w:r>
            <w:r>
              <w:rPr>
                <w:noProof/>
              </w:rPr>
              <w:fldChar w:fldCharType="separate"/>
            </w:r>
            <w:r w:rsidR="00A418FE">
              <w:rPr>
                <w:noProof/>
              </w:rPr>
              <w:t>12</w:t>
            </w:r>
            <w:r>
              <w:rPr>
                <w:noProof/>
              </w:rPr>
              <w:fldChar w:fldCharType="end"/>
            </w:r>
          </w:p>
          <w:p w14:paraId="4E47001F" w14:textId="5DCA89EB" w:rsidR="00950AE9" w:rsidRDefault="00950AE9">
            <w:pPr>
              <w:pStyle w:val="TOC1"/>
              <w:rPr>
                <w:rFonts w:asciiTheme="minorHAnsi" w:eastAsiaTheme="minorEastAsia" w:hAnsiTheme="minorHAnsi"/>
                <w:b w:val="0"/>
                <w:noProof/>
                <w:color w:val="auto"/>
                <w:szCs w:val="24"/>
                <w:lang w:eastAsia="en-GB"/>
              </w:rPr>
            </w:pPr>
            <w:r>
              <w:rPr>
                <w:noProof/>
              </w:rPr>
              <w:t>9</w:t>
            </w:r>
            <w:r>
              <w:rPr>
                <w:rFonts w:asciiTheme="minorHAnsi" w:eastAsiaTheme="minorEastAsia" w:hAnsiTheme="minorHAnsi"/>
                <w:b w:val="0"/>
                <w:noProof/>
                <w:color w:val="auto"/>
                <w:szCs w:val="24"/>
                <w:lang w:eastAsia="en-GB"/>
              </w:rPr>
              <w:tab/>
            </w:r>
            <w:r>
              <w:rPr>
                <w:noProof/>
              </w:rPr>
              <w:t>Implementation</w:t>
            </w:r>
            <w:r>
              <w:rPr>
                <w:noProof/>
              </w:rPr>
              <w:tab/>
            </w:r>
            <w:r>
              <w:rPr>
                <w:noProof/>
              </w:rPr>
              <w:fldChar w:fldCharType="begin"/>
            </w:r>
            <w:r>
              <w:rPr>
                <w:noProof/>
              </w:rPr>
              <w:instrText xml:space="preserve"> PAGEREF _Toc235084441 \h </w:instrText>
            </w:r>
            <w:r>
              <w:rPr>
                <w:noProof/>
              </w:rPr>
            </w:r>
            <w:r>
              <w:rPr>
                <w:noProof/>
              </w:rPr>
              <w:fldChar w:fldCharType="separate"/>
            </w:r>
            <w:r w:rsidR="00A418FE">
              <w:rPr>
                <w:noProof/>
              </w:rPr>
              <w:t>13</w:t>
            </w:r>
            <w:r>
              <w:rPr>
                <w:noProof/>
              </w:rPr>
              <w:fldChar w:fldCharType="end"/>
            </w:r>
          </w:p>
          <w:p w14:paraId="14DC7CDB" w14:textId="7FE28B4B" w:rsidR="00950AE9" w:rsidRDefault="00950AE9">
            <w:pPr>
              <w:pStyle w:val="TOC1"/>
              <w:rPr>
                <w:rFonts w:asciiTheme="minorHAnsi" w:eastAsiaTheme="minorEastAsia" w:hAnsiTheme="minorHAnsi"/>
                <w:b w:val="0"/>
                <w:noProof/>
                <w:color w:val="auto"/>
                <w:szCs w:val="24"/>
                <w:lang w:eastAsia="en-GB"/>
              </w:rPr>
            </w:pPr>
            <w:r>
              <w:rPr>
                <w:noProof/>
              </w:rPr>
              <w:t>10</w:t>
            </w:r>
            <w:r>
              <w:rPr>
                <w:rFonts w:asciiTheme="minorHAnsi" w:eastAsiaTheme="minorEastAsia" w:hAnsiTheme="minorHAnsi"/>
                <w:b w:val="0"/>
                <w:noProof/>
                <w:color w:val="auto"/>
                <w:szCs w:val="24"/>
                <w:lang w:eastAsia="en-GB"/>
              </w:rPr>
              <w:tab/>
            </w:r>
            <w:r>
              <w:rPr>
                <w:noProof/>
              </w:rPr>
              <w:t>Legal Text</w:t>
            </w:r>
            <w:r>
              <w:rPr>
                <w:noProof/>
              </w:rPr>
              <w:tab/>
            </w:r>
            <w:r>
              <w:rPr>
                <w:noProof/>
              </w:rPr>
              <w:fldChar w:fldCharType="begin"/>
            </w:r>
            <w:r>
              <w:rPr>
                <w:noProof/>
              </w:rPr>
              <w:instrText xml:space="preserve"> PAGEREF _Toc235084442 \h </w:instrText>
            </w:r>
            <w:r>
              <w:rPr>
                <w:noProof/>
              </w:rPr>
            </w:r>
            <w:r>
              <w:rPr>
                <w:noProof/>
              </w:rPr>
              <w:fldChar w:fldCharType="separate"/>
            </w:r>
            <w:r w:rsidR="00A418FE">
              <w:rPr>
                <w:noProof/>
              </w:rPr>
              <w:t>13</w:t>
            </w:r>
            <w:r>
              <w:rPr>
                <w:noProof/>
              </w:rPr>
              <w:fldChar w:fldCharType="end"/>
            </w:r>
          </w:p>
          <w:p w14:paraId="69AE9DFF" w14:textId="6C4CE484" w:rsidR="00950AE9" w:rsidRDefault="00950AE9">
            <w:pPr>
              <w:pStyle w:val="TOC1"/>
              <w:rPr>
                <w:rFonts w:asciiTheme="minorHAnsi" w:eastAsiaTheme="minorEastAsia" w:hAnsiTheme="minorHAnsi"/>
                <w:b w:val="0"/>
                <w:noProof/>
                <w:color w:val="auto"/>
                <w:szCs w:val="24"/>
                <w:lang w:eastAsia="en-GB"/>
              </w:rPr>
            </w:pPr>
            <w:r>
              <w:rPr>
                <w:noProof/>
              </w:rPr>
              <w:t>11</w:t>
            </w:r>
            <w:r>
              <w:rPr>
                <w:rFonts w:asciiTheme="minorHAnsi" w:eastAsiaTheme="minorEastAsia" w:hAnsiTheme="minorHAnsi"/>
                <w:b w:val="0"/>
                <w:noProof/>
                <w:color w:val="auto"/>
                <w:szCs w:val="24"/>
                <w:lang w:eastAsia="en-GB"/>
              </w:rPr>
              <w:tab/>
            </w:r>
            <w:r>
              <w:rPr>
                <w:noProof/>
              </w:rPr>
              <w:t>Code Specific Matters</w:t>
            </w:r>
            <w:r>
              <w:rPr>
                <w:noProof/>
              </w:rPr>
              <w:tab/>
            </w:r>
            <w:r>
              <w:rPr>
                <w:noProof/>
              </w:rPr>
              <w:fldChar w:fldCharType="begin"/>
            </w:r>
            <w:r>
              <w:rPr>
                <w:noProof/>
              </w:rPr>
              <w:instrText xml:space="preserve"> PAGEREF _Toc235084443 \h </w:instrText>
            </w:r>
            <w:r>
              <w:rPr>
                <w:noProof/>
              </w:rPr>
            </w:r>
            <w:r>
              <w:rPr>
                <w:noProof/>
              </w:rPr>
              <w:fldChar w:fldCharType="separate"/>
            </w:r>
            <w:r w:rsidR="00A418FE">
              <w:rPr>
                <w:noProof/>
              </w:rPr>
              <w:t>13</w:t>
            </w:r>
            <w:r>
              <w:rPr>
                <w:noProof/>
              </w:rPr>
              <w:fldChar w:fldCharType="end"/>
            </w:r>
          </w:p>
          <w:p w14:paraId="6AF02191" w14:textId="3B75A6D4" w:rsidR="00950AE9" w:rsidRDefault="00950AE9">
            <w:pPr>
              <w:pStyle w:val="TOC1"/>
              <w:rPr>
                <w:rFonts w:asciiTheme="minorHAnsi" w:eastAsiaTheme="minorEastAsia" w:hAnsiTheme="minorHAnsi"/>
                <w:b w:val="0"/>
                <w:noProof/>
                <w:color w:val="auto"/>
                <w:szCs w:val="24"/>
                <w:lang w:eastAsia="en-GB"/>
              </w:rPr>
            </w:pPr>
            <w:r>
              <w:rPr>
                <w:noProof/>
              </w:rPr>
              <w:t>12</w:t>
            </w:r>
            <w:r>
              <w:rPr>
                <w:rFonts w:asciiTheme="minorHAnsi" w:eastAsiaTheme="minorEastAsia" w:hAnsiTheme="minorHAnsi"/>
                <w:b w:val="0"/>
                <w:noProof/>
                <w:color w:val="auto"/>
                <w:szCs w:val="24"/>
                <w:lang w:eastAsia="en-GB"/>
              </w:rPr>
              <w:tab/>
            </w:r>
            <w:r>
              <w:rPr>
                <w:noProof/>
              </w:rPr>
              <w:t>Recommendations</w:t>
            </w:r>
            <w:r>
              <w:rPr>
                <w:noProof/>
              </w:rPr>
              <w:tab/>
            </w:r>
            <w:r>
              <w:rPr>
                <w:noProof/>
              </w:rPr>
              <w:fldChar w:fldCharType="begin"/>
            </w:r>
            <w:r>
              <w:rPr>
                <w:noProof/>
              </w:rPr>
              <w:instrText xml:space="preserve"> PAGEREF _Toc235084444 \h </w:instrText>
            </w:r>
            <w:r>
              <w:rPr>
                <w:noProof/>
              </w:rPr>
            </w:r>
            <w:r>
              <w:rPr>
                <w:noProof/>
              </w:rPr>
              <w:fldChar w:fldCharType="separate"/>
            </w:r>
            <w:r w:rsidR="00A418FE">
              <w:rPr>
                <w:noProof/>
              </w:rPr>
              <w:t>13</w:t>
            </w:r>
            <w:r>
              <w:rPr>
                <w:noProof/>
              </w:rPr>
              <w:fldChar w:fldCharType="end"/>
            </w:r>
          </w:p>
          <w:p w14:paraId="1944A107" w14:textId="7F11FBBC" w:rsidR="00950AE9" w:rsidRDefault="00950AE9">
            <w:pPr>
              <w:pStyle w:val="TOC1"/>
              <w:rPr>
                <w:rFonts w:asciiTheme="minorHAnsi" w:eastAsiaTheme="minorEastAsia" w:hAnsiTheme="minorHAnsi"/>
                <w:b w:val="0"/>
                <w:noProof/>
                <w:color w:val="auto"/>
                <w:szCs w:val="24"/>
                <w:lang w:eastAsia="en-GB"/>
              </w:rPr>
            </w:pPr>
            <w:r>
              <w:rPr>
                <w:noProof/>
              </w:rPr>
              <w:t>13</w:t>
            </w:r>
            <w:r>
              <w:rPr>
                <w:rFonts w:asciiTheme="minorHAnsi" w:eastAsiaTheme="minorEastAsia" w:hAnsiTheme="minorHAnsi"/>
                <w:b w:val="0"/>
                <w:noProof/>
                <w:color w:val="auto"/>
                <w:szCs w:val="24"/>
                <w:lang w:eastAsia="en-GB"/>
              </w:rPr>
              <w:tab/>
            </w:r>
            <w:r>
              <w:rPr>
                <w:noProof/>
              </w:rPr>
              <w:t>Attachments</w:t>
            </w:r>
            <w:r>
              <w:rPr>
                <w:noProof/>
              </w:rPr>
              <w:tab/>
            </w:r>
            <w:r>
              <w:rPr>
                <w:noProof/>
              </w:rPr>
              <w:fldChar w:fldCharType="begin"/>
            </w:r>
            <w:r>
              <w:rPr>
                <w:noProof/>
              </w:rPr>
              <w:instrText xml:space="preserve"> PAGEREF _Toc235084445 \h </w:instrText>
            </w:r>
            <w:r>
              <w:rPr>
                <w:noProof/>
              </w:rPr>
            </w:r>
            <w:r>
              <w:rPr>
                <w:noProof/>
              </w:rPr>
              <w:fldChar w:fldCharType="separate"/>
            </w:r>
            <w:r w:rsidR="00A418FE">
              <w:rPr>
                <w:noProof/>
              </w:rPr>
              <w:t>14</w:t>
            </w:r>
            <w:r>
              <w:rPr>
                <w:noProof/>
              </w:rPr>
              <w:fldChar w:fldCharType="end"/>
            </w:r>
          </w:p>
          <w:p w14:paraId="6F0F0A59" w14:textId="78E24C00" w:rsidR="004957F7" w:rsidRPr="0085103F" w:rsidRDefault="004957F7" w:rsidP="004957F7">
            <w:pPr>
              <w:pStyle w:val="TOC1"/>
              <w:tabs>
                <w:tab w:val="clear" w:pos="480"/>
                <w:tab w:val="clear" w:pos="9628"/>
              </w:tabs>
              <w:rPr>
                <w:sz w:val="2"/>
                <w:szCs w:val="2"/>
              </w:rPr>
            </w:pPr>
            <w:r w:rsidRPr="000D26FB">
              <w:rPr>
                <w:sz w:val="20"/>
                <w:szCs w:val="18"/>
              </w:rPr>
              <w:fldChar w:fldCharType="end"/>
            </w:r>
          </w:p>
        </w:tc>
        <w:tc>
          <w:tcPr>
            <w:tcW w:w="3112" w:type="dxa"/>
            <w:tcBorders>
              <w:top w:val="single" w:sz="4" w:space="0" w:color="008576"/>
              <w:left w:val="single" w:sz="4" w:space="0" w:color="008576"/>
              <w:bottom w:val="single" w:sz="4" w:space="0" w:color="008576"/>
              <w:right w:val="single" w:sz="4" w:space="0" w:color="008576"/>
            </w:tcBorders>
          </w:tcPr>
          <w:p w14:paraId="6F1C3160" w14:textId="77777777" w:rsidR="004957F7" w:rsidRPr="00C60A83" w:rsidRDefault="004957F7" w:rsidP="004957F7">
            <w:pPr>
              <w:spacing w:line="360" w:lineRule="auto"/>
              <w:rPr>
                <w:b/>
                <w:bCs/>
                <w:color w:val="008576"/>
              </w:rPr>
            </w:pPr>
            <w:r w:rsidRPr="00C60A83">
              <w:rPr>
                <w:b/>
                <w:bCs/>
                <w:color w:val="008576"/>
              </w:rPr>
              <w:t>Contact</w:t>
            </w:r>
          </w:p>
          <w:p w14:paraId="2F0CE86D" w14:textId="279F1541" w:rsidR="004957F7" w:rsidRPr="00C60A83" w:rsidRDefault="004957F7" w:rsidP="004957F7">
            <w:pPr>
              <w:spacing w:line="360" w:lineRule="auto"/>
              <w:rPr>
                <w:color w:val="008576"/>
              </w:rPr>
            </w:pPr>
            <w:r w:rsidRPr="00C60A83">
              <w:rPr>
                <w:color w:val="008576"/>
              </w:rPr>
              <w:t>Code Administrator</w:t>
            </w:r>
          </w:p>
        </w:tc>
      </w:tr>
      <w:tr w:rsidR="004957F7" w14:paraId="04618390" w14:textId="77777777" w:rsidTr="004F126F">
        <w:trPr>
          <w:trHeight w:val="407"/>
        </w:trPr>
        <w:tc>
          <w:tcPr>
            <w:tcW w:w="6516" w:type="dxa"/>
            <w:vMerge/>
            <w:tcBorders>
              <w:left w:val="single" w:sz="4" w:space="0" w:color="008576"/>
              <w:right w:val="single" w:sz="4" w:space="0" w:color="008576"/>
            </w:tcBorders>
          </w:tcPr>
          <w:p w14:paraId="0616859F" w14:textId="77777777" w:rsidR="004957F7" w:rsidRDefault="004957F7" w:rsidP="004957F7"/>
        </w:tc>
        <w:tc>
          <w:tcPr>
            <w:tcW w:w="3112" w:type="dxa"/>
            <w:tcBorders>
              <w:top w:val="single" w:sz="4" w:space="0" w:color="008576"/>
              <w:left w:val="single" w:sz="4" w:space="0" w:color="008576"/>
              <w:bottom w:val="single" w:sz="4" w:space="0" w:color="008576"/>
              <w:right w:val="single" w:sz="4" w:space="0" w:color="008576"/>
            </w:tcBorders>
          </w:tcPr>
          <w:p w14:paraId="04C6DB98" w14:textId="77777777" w:rsidR="004957F7" w:rsidRDefault="004957F7" w:rsidP="004957F7">
            <w:r w:rsidRPr="004C291F">
              <w:rPr>
                <w:rFonts w:cs="Arial"/>
                <w:noProof/>
                <w:color w:val="008576"/>
                <w:szCs w:val="20"/>
                <w:lang w:val="en-US"/>
              </w:rPr>
              <w:drawing>
                <wp:inline distT="0" distB="0" distL="0" distR="0" wp14:anchorId="3081BD21" wp14:editId="5B809660">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910CBA7" w14:textId="5BE30D4A" w:rsidR="004957F7" w:rsidRDefault="004957F7" w:rsidP="004957F7">
            <w:hyperlink r:id="rId21" w:history="1">
              <w:r w:rsidRPr="00FA4C6F">
                <w:rPr>
                  <w:rStyle w:val="Hyperlink"/>
                </w:rPr>
                <w:t>dcusa@electralink.co.uk</w:t>
              </w:r>
            </w:hyperlink>
            <w:r>
              <w:t xml:space="preserve">  </w:t>
            </w:r>
          </w:p>
        </w:tc>
      </w:tr>
      <w:tr w:rsidR="004957F7" w14:paraId="72A80D81" w14:textId="77777777" w:rsidTr="004F126F">
        <w:trPr>
          <w:trHeight w:val="407"/>
        </w:trPr>
        <w:tc>
          <w:tcPr>
            <w:tcW w:w="6516" w:type="dxa"/>
            <w:vMerge/>
            <w:tcBorders>
              <w:left w:val="single" w:sz="4" w:space="0" w:color="008576"/>
              <w:right w:val="single" w:sz="4" w:space="0" w:color="008576"/>
            </w:tcBorders>
          </w:tcPr>
          <w:p w14:paraId="2C00E023" w14:textId="77777777" w:rsidR="004957F7" w:rsidRDefault="004957F7" w:rsidP="004957F7"/>
        </w:tc>
        <w:tc>
          <w:tcPr>
            <w:tcW w:w="3112" w:type="dxa"/>
            <w:tcBorders>
              <w:top w:val="single" w:sz="4" w:space="0" w:color="008576"/>
              <w:left w:val="single" w:sz="4" w:space="0" w:color="008576"/>
              <w:bottom w:val="single" w:sz="4" w:space="0" w:color="008576"/>
              <w:right w:val="single" w:sz="4" w:space="0" w:color="008576"/>
            </w:tcBorders>
          </w:tcPr>
          <w:p w14:paraId="7AFE38BA" w14:textId="77777777" w:rsidR="004957F7" w:rsidRPr="00C60A83" w:rsidRDefault="004957F7" w:rsidP="004957F7">
            <w:pPr>
              <w:rPr>
                <w:color w:val="008576"/>
              </w:rPr>
            </w:pPr>
            <w:r w:rsidRPr="00C60A83">
              <w:rPr>
                <w:rFonts w:cs="Arial"/>
                <w:noProof/>
                <w:color w:val="008576"/>
                <w:szCs w:val="20"/>
                <w:lang w:val="en-US"/>
              </w:rPr>
              <w:drawing>
                <wp:inline distT="0" distB="0" distL="0" distR="0" wp14:anchorId="124081FE" wp14:editId="309B93C4">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38A37ABA" w14:textId="05D33262" w:rsidR="004957F7" w:rsidRPr="00C60A83" w:rsidRDefault="004957F7" w:rsidP="004957F7">
            <w:pPr>
              <w:rPr>
                <w:color w:val="008576"/>
              </w:rPr>
            </w:pPr>
            <w:r w:rsidRPr="00C60A83">
              <w:rPr>
                <w:color w:val="008576"/>
              </w:rPr>
              <w:t>0207 432 3011</w:t>
            </w:r>
          </w:p>
        </w:tc>
      </w:tr>
      <w:tr w:rsidR="004957F7" w14:paraId="0C490213" w14:textId="77777777" w:rsidTr="00150AC5">
        <w:trPr>
          <w:trHeight w:val="752"/>
        </w:trPr>
        <w:tc>
          <w:tcPr>
            <w:tcW w:w="6516" w:type="dxa"/>
            <w:vMerge/>
            <w:tcBorders>
              <w:left w:val="single" w:sz="4" w:space="0" w:color="008576"/>
              <w:right w:val="single" w:sz="4" w:space="0" w:color="008576"/>
            </w:tcBorders>
          </w:tcPr>
          <w:p w14:paraId="341B0932" w14:textId="77777777" w:rsidR="004957F7" w:rsidRDefault="004957F7" w:rsidP="004957F7"/>
        </w:tc>
        <w:tc>
          <w:tcPr>
            <w:tcW w:w="3112" w:type="dxa"/>
            <w:tcBorders>
              <w:top w:val="single" w:sz="4" w:space="0" w:color="008576"/>
              <w:left w:val="single" w:sz="4" w:space="0" w:color="008576"/>
              <w:bottom w:val="single" w:sz="4" w:space="0" w:color="008576"/>
              <w:right w:val="single" w:sz="4" w:space="0" w:color="008576"/>
            </w:tcBorders>
          </w:tcPr>
          <w:p w14:paraId="0C3C9C68" w14:textId="6F053EFB" w:rsidR="004957F7" w:rsidRPr="00C60A83" w:rsidRDefault="004957F7" w:rsidP="004957F7">
            <w:pPr>
              <w:rPr>
                <w:b/>
                <w:bCs/>
                <w:color w:val="008576"/>
              </w:rPr>
            </w:pPr>
            <w:r w:rsidRPr="00C60A83">
              <w:rPr>
                <w:b/>
                <w:bCs/>
                <w:color w:val="008576"/>
              </w:rPr>
              <w:t>Proposer</w:t>
            </w:r>
          </w:p>
        </w:tc>
      </w:tr>
      <w:tr w:rsidR="004957F7" w14:paraId="04952891" w14:textId="77777777" w:rsidTr="00150AC5">
        <w:trPr>
          <w:trHeight w:val="707"/>
        </w:trPr>
        <w:tc>
          <w:tcPr>
            <w:tcW w:w="6516" w:type="dxa"/>
            <w:vMerge/>
            <w:tcBorders>
              <w:left w:val="single" w:sz="4" w:space="0" w:color="008576"/>
              <w:right w:val="single" w:sz="4" w:space="0" w:color="008576"/>
            </w:tcBorders>
          </w:tcPr>
          <w:p w14:paraId="67E14088" w14:textId="77777777" w:rsidR="004957F7" w:rsidRDefault="004957F7" w:rsidP="004957F7"/>
        </w:tc>
        <w:tc>
          <w:tcPr>
            <w:tcW w:w="3112" w:type="dxa"/>
            <w:tcBorders>
              <w:top w:val="single" w:sz="4" w:space="0" w:color="008576"/>
              <w:left w:val="single" w:sz="4" w:space="0" w:color="008576"/>
              <w:bottom w:val="single" w:sz="4" w:space="0" w:color="008576"/>
              <w:right w:val="single" w:sz="4" w:space="0" w:color="008576"/>
            </w:tcBorders>
          </w:tcPr>
          <w:p w14:paraId="477592FF" w14:textId="47329271" w:rsidR="004957F7" w:rsidRPr="00C60A83" w:rsidRDefault="004957F7" w:rsidP="004957F7">
            <w:pPr>
              <w:rPr>
                <w:color w:val="008576"/>
              </w:rPr>
            </w:pPr>
            <w:r>
              <w:rPr>
                <w:color w:val="008576"/>
              </w:rPr>
              <w:t>Emma Clark</w:t>
            </w:r>
          </w:p>
        </w:tc>
      </w:tr>
      <w:tr w:rsidR="004957F7" w14:paraId="605EF61A" w14:textId="77777777" w:rsidTr="004F126F">
        <w:trPr>
          <w:trHeight w:val="407"/>
        </w:trPr>
        <w:tc>
          <w:tcPr>
            <w:tcW w:w="6516" w:type="dxa"/>
            <w:vMerge/>
            <w:tcBorders>
              <w:left w:val="single" w:sz="4" w:space="0" w:color="008576"/>
              <w:bottom w:val="single" w:sz="4" w:space="0" w:color="008576"/>
              <w:right w:val="single" w:sz="4" w:space="0" w:color="008576"/>
            </w:tcBorders>
          </w:tcPr>
          <w:p w14:paraId="6941F3AD" w14:textId="77777777" w:rsidR="004957F7" w:rsidRDefault="004957F7" w:rsidP="004957F7"/>
        </w:tc>
        <w:tc>
          <w:tcPr>
            <w:tcW w:w="3112" w:type="dxa"/>
            <w:tcBorders>
              <w:top w:val="single" w:sz="4" w:space="0" w:color="008576"/>
              <w:left w:val="single" w:sz="4" w:space="0" w:color="008576"/>
              <w:bottom w:val="single" w:sz="4" w:space="0" w:color="008576"/>
              <w:right w:val="single" w:sz="4" w:space="0" w:color="008576"/>
            </w:tcBorders>
          </w:tcPr>
          <w:p w14:paraId="222E2C1C" w14:textId="0BFB5D52" w:rsidR="004957F7" w:rsidRPr="00C60A83" w:rsidRDefault="004957F7" w:rsidP="004957F7">
            <w:pPr>
              <w:rPr>
                <w:color w:val="008576"/>
              </w:rPr>
            </w:pPr>
            <w:hyperlink r:id="rId23" w:history="1">
              <w:r w:rsidRPr="00CB281A">
                <w:rPr>
                  <w:rStyle w:val="Hyperlink"/>
                </w:rPr>
                <w:t>emma.clark@sse.com</w:t>
              </w:r>
            </w:hyperlink>
            <w:r>
              <w:rPr>
                <w:color w:val="008576"/>
              </w:rPr>
              <w:t xml:space="preserve"> </w:t>
            </w:r>
          </w:p>
        </w:tc>
      </w:tr>
      <w:tr w:rsidR="00422A1E" w14:paraId="1A6C3926" w14:textId="77777777" w:rsidTr="00150AC5">
        <w:trPr>
          <w:trHeight w:val="305"/>
        </w:trPr>
        <w:tc>
          <w:tcPr>
            <w:tcW w:w="6516" w:type="dxa"/>
            <w:tcBorders>
              <w:top w:val="single" w:sz="4" w:space="0" w:color="008576"/>
              <w:left w:val="single" w:sz="4" w:space="0" w:color="008576"/>
              <w:bottom w:val="single" w:sz="4" w:space="0" w:color="008576"/>
              <w:right w:val="single" w:sz="4" w:space="0" w:color="008576"/>
            </w:tcBorders>
            <w:shd w:val="clear" w:color="auto" w:fill="9A4D9E"/>
            <w:tcMar>
              <w:top w:w="108" w:type="dxa"/>
              <w:bottom w:w="108" w:type="dxa"/>
            </w:tcMar>
          </w:tcPr>
          <w:p w14:paraId="0D64C1F0" w14:textId="2342CCBC" w:rsidR="00422A1E" w:rsidRPr="00A2083C" w:rsidRDefault="00422A1E">
            <w:pPr>
              <w:rPr>
                <w:rFonts w:cs="Arial"/>
                <w:b/>
                <w:bCs/>
                <w:sz w:val="28"/>
                <w:szCs w:val="28"/>
              </w:rPr>
            </w:pPr>
            <w:r w:rsidRPr="00A2083C">
              <w:rPr>
                <w:rFonts w:cs="Arial"/>
                <w:b/>
                <w:bCs/>
                <w:color w:val="FFFFFF" w:themeColor="background1"/>
                <w:sz w:val="28"/>
                <w:szCs w:val="28"/>
              </w:rPr>
              <w:t>Timetable</w:t>
            </w:r>
          </w:p>
        </w:tc>
        <w:tc>
          <w:tcPr>
            <w:tcW w:w="3112" w:type="dxa"/>
            <w:tcBorders>
              <w:top w:val="single" w:sz="4" w:space="0" w:color="008576"/>
              <w:left w:val="single" w:sz="4" w:space="0" w:color="008576"/>
              <w:bottom w:val="single" w:sz="4" w:space="0" w:color="FFFFFF" w:themeColor="background1"/>
              <w:right w:val="single" w:sz="4" w:space="0" w:color="008576"/>
            </w:tcBorders>
          </w:tcPr>
          <w:p w14:paraId="6D70C616" w14:textId="77777777" w:rsidR="00422A1E" w:rsidRDefault="00422A1E"/>
        </w:tc>
      </w:tr>
      <w:tr w:rsidR="00422A1E" w14:paraId="198D878A" w14:textId="77777777" w:rsidTr="004F126F">
        <w:trPr>
          <w:trHeight w:val="2440"/>
        </w:trPr>
        <w:tc>
          <w:tcPr>
            <w:tcW w:w="6516" w:type="dxa"/>
            <w:tcBorders>
              <w:top w:val="single" w:sz="4" w:space="0" w:color="008576"/>
              <w:left w:val="single" w:sz="4" w:space="0" w:color="008576"/>
              <w:bottom w:val="single" w:sz="4" w:space="0" w:color="008576"/>
              <w:right w:val="single" w:sz="4" w:space="0" w:color="008576"/>
            </w:tcBorders>
            <w:tcMar>
              <w:left w:w="0" w:type="dxa"/>
              <w:right w:w="0" w:type="dxa"/>
            </w:tcMar>
          </w:tcPr>
          <w:tbl>
            <w:tblPr>
              <w:tblStyle w:val="TableGrid"/>
              <w:tblW w:w="6650" w:type="dxa"/>
              <w:tblLayout w:type="fixed"/>
              <w:tblLook w:val="04A0" w:firstRow="1" w:lastRow="0" w:firstColumn="1" w:lastColumn="0" w:noHBand="0" w:noVBand="1"/>
            </w:tblPr>
            <w:tblGrid>
              <w:gridCol w:w="3805"/>
              <w:gridCol w:w="2845"/>
            </w:tblGrid>
            <w:tr w:rsidR="00422A1E" w14:paraId="1AF2ACF7"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DD6EE"/>
                  <w:tcMar>
                    <w:top w:w="57" w:type="dxa"/>
                    <w:bottom w:w="57" w:type="dxa"/>
                  </w:tcMar>
                </w:tcPr>
                <w:p w14:paraId="2A0CDBD9" w14:textId="77112BE8" w:rsidR="00422A1E" w:rsidRPr="00E1744F" w:rsidRDefault="00422A1E" w:rsidP="00B21675">
                  <w:pPr>
                    <w:rPr>
                      <w:rFonts w:cs="Arial"/>
                      <w:b/>
                      <w:bCs/>
                    </w:rPr>
                  </w:pPr>
                  <w:r w:rsidRPr="00E1744F">
                    <w:rPr>
                      <w:rFonts w:cs="Arial"/>
                      <w:b/>
                      <w:bCs/>
                    </w:rPr>
                    <w:t>Activity</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shd w:val="clear" w:color="auto" w:fill="BDD6EE"/>
                  <w:tcMar>
                    <w:top w:w="57" w:type="dxa"/>
                    <w:bottom w:w="57" w:type="dxa"/>
                  </w:tcMar>
                </w:tcPr>
                <w:p w14:paraId="4A5ADD90" w14:textId="324B6CB1" w:rsidR="00422A1E" w:rsidRPr="00E1744F" w:rsidRDefault="00422A1E" w:rsidP="00B21675">
                  <w:pPr>
                    <w:rPr>
                      <w:rFonts w:cs="Arial"/>
                      <w:b/>
                      <w:bCs/>
                    </w:rPr>
                  </w:pPr>
                  <w:r w:rsidRPr="00E1744F">
                    <w:rPr>
                      <w:rFonts w:cs="Arial"/>
                      <w:b/>
                      <w:bCs/>
                    </w:rPr>
                    <w:t>Date</w:t>
                  </w:r>
                </w:p>
              </w:tc>
            </w:tr>
            <w:tr w:rsidR="00636FB1" w14:paraId="049BABDD"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AE2366D" w14:textId="16120884" w:rsidR="00636FB1" w:rsidRPr="00E1744F" w:rsidRDefault="00636FB1" w:rsidP="00636FB1">
                  <w:pPr>
                    <w:rPr>
                      <w:rFonts w:cs="Arial"/>
                    </w:rPr>
                  </w:pPr>
                  <w:r w:rsidRPr="00E1744F">
                    <w:rPr>
                      <w:rFonts w:cs="Arial"/>
                    </w:rPr>
                    <w:t>Initial Assessment Report</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34EE45E" w14:textId="640B66D4" w:rsidR="00636FB1" w:rsidRPr="00E1744F" w:rsidRDefault="00636FB1" w:rsidP="00636FB1">
                  <w:pPr>
                    <w:rPr>
                      <w:rFonts w:cs="Arial"/>
                    </w:rPr>
                  </w:pPr>
                  <w:r>
                    <w:rPr>
                      <w:rFonts w:cs="Arial"/>
                    </w:rPr>
                    <w:t>17 June 2026</w:t>
                  </w:r>
                </w:p>
              </w:tc>
            </w:tr>
            <w:tr w:rsidR="00636FB1" w14:paraId="62C5C716"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7E8DF9E2" w14:textId="2FC6C94E" w:rsidR="00636FB1" w:rsidRPr="00E1744F" w:rsidRDefault="00636FB1" w:rsidP="00636FB1">
                  <w:pPr>
                    <w:rPr>
                      <w:rFonts w:cs="Arial"/>
                    </w:rPr>
                  </w:pPr>
                  <w:r w:rsidRPr="00E1744F">
                    <w:rPr>
                      <w:rFonts w:cs="Arial"/>
                    </w:rPr>
                    <w:t>Consultation Issued to Parties</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27B841EC" w14:textId="4F4F586E" w:rsidR="00636FB1" w:rsidRPr="00E1744F" w:rsidRDefault="00636FB1" w:rsidP="00636FB1">
                  <w:pPr>
                    <w:rPr>
                      <w:rFonts w:cs="Arial"/>
                    </w:rPr>
                  </w:pPr>
                  <w:r>
                    <w:rPr>
                      <w:rFonts w:cs="Arial"/>
                    </w:rPr>
                    <w:t>17 July 2026</w:t>
                  </w:r>
                </w:p>
              </w:tc>
            </w:tr>
            <w:tr w:rsidR="00636FB1" w14:paraId="6D6F9780"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FD251AE" w14:textId="52C0AB9B" w:rsidR="00636FB1" w:rsidRPr="00E1744F" w:rsidRDefault="00636FB1" w:rsidP="00636FB1">
                  <w:pPr>
                    <w:rPr>
                      <w:rFonts w:cs="Arial"/>
                    </w:rPr>
                  </w:pPr>
                  <w:r w:rsidRPr="00E1744F">
                    <w:rPr>
                      <w:rFonts w:cs="Arial"/>
                    </w:rPr>
                    <w:t xml:space="preserve">Change Report Approved by Panel </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629446DE" w14:textId="212EED82" w:rsidR="00636FB1" w:rsidRPr="00E1744F" w:rsidRDefault="00636FB1" w:rsidP="00636FB1">
                  <w:pPr>
                    <w:rPr>
                      <w:rFonts w:cs="Arial"/>
                    </w:rPr>
                  </w:pPr>
                  <w:r>
                    <w:rPr>
                      <w:rFonts w:cs="Arial"/>
                    </w:rPr>
                    <w:t>16 September 2026</w:t>
                  </w:r>
                </w:p>
              </w:tc>
            </w:tr>
            <w:tr w:rsidR="00636FB1" w14:paraId="2AF88FCC"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D13F612" w14:textId="47D018C3" w:rsidR="00636FB1" w:rsidRPr="00E1744F" w:rsidRDefault="00636FB1" w:rsidP="00636FB1">
                  <w:pPr>
                    <w:rPr>
                      <w:rFonts w:cs="Arial"/>
                    </w:rPr>
                  </w:pPr>
                  <w:r w:rsidRPr="00E1744F">
                    <w:rPr>
                      <w:rFonts w:cs="Arial"/>
                    </w:rPr>
                    <w:t>Change Report Issued for Voting</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31D3F206" w14:textId="249DC23B" w:rsidR="00636FB1" w:rsidRPr="00E1744F" w:rsidRDefault="00636FB1" w:rsidP="00636FB1">
                  <w:pPr>
                    <w:rPr>
                      <w:rFonts w:cs="Arial"/>
                    </w:rPr>
                  </w:pPr>
                  <w:r>
                    <w:rPr>
                      <w:rFonts w:cs="Arial"/>
                    </w:rPr>
                    <w:t>16 September 2026</w:t>
                  </w:r>
                </w:p>
              </w:tc>
            </w:tr>
            <w:tr w:rsidR="00636FB1" w14:paraId="4DA5CEBB"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CB140C1" w14:textId="1B48684D" w:rsidR="00636FB1" w:rsidRPr="00E1744F" w:rsidRDefault="00636FB1" w:rsidP="00636FB1">
                  <w:pPr>
                    <w:rPr>
                      <w:rFonts w:cs="Arial"/>
                    </w:rPr>
                  </w:pPr>
                  <w:r w:rsidRPr="00E1744F">
                    <w:rPr>
                      <w:rFonts w:cs="Arial"/>
                    </w:rPr>
                    <w:t>Party Voting Close</w:t>
                  </w:r>
                  <w:r>
                    <w:rPr>
                      <w:rFonts w:cs="Arial"/>
                    </w:rPr>
                    <w:t>s</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570DF611" w14:textId="067EC8BA" w:rsidR="00636FB1" w:rsidRPr="00E1744F" w:rsidRDefault="00636FB1" w:rsidP="00636FB1">
                  <w:pPr>
                    <w:rPr>
                      <w:rFonts w:cs="Arial"/>
                    </w:rPr>
                  </w:pPr>
                  <w:r>
                    <w:rPr>
                      <w:rFonts w:cs="Arial"/>
                    </w:rPr>
                    <w:t>30 September 2026</w:t>
                  </w:r>
                </w:p>
              </w:tc>
            </w:tr>
            <w:tr w:rsidR="00636FB1" w14:paraId="7BC3A6F2"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5F883F87" w14:textId="697AD0E9" w:rsidR="00636FB1" w:rsidRPr="00E1744F" w:rsidRDefault="00636FB1" w:rsidP="00636FB1">
                  <w:pPr>
                    <w:rPr>
                      <w:rFonts w:cs="Arial"/>
                    </w:rPr>
                  </w:pPr>
                  <w:r w:rsidRPr="00E1744F">
                    <w:rPr>
                      <w:rFonts w:cs="Arial"/>
                    </w:rPr>
                    <w:t>Change Declaration Issued</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8FA0CA4" w14:textId="40C55CC0" w:rsidR="00636FB1" w:rsidRPr="00E1744F" w:rsidRDefault="00636FB1" w:rsidP="00636FB1">
                  <w:pPr>
                    <w:rPr>
                      <w:rFonts w:cs="Arial"/>
                    </w:rPr>
                  </w:pPr>
                  <w:r>
                    <w:rPr>
                      <w:rFonts w:cs="Arial"/>
                    </w:rPr>
                    <w:t>1 October 2026</w:t>
                  </w:r>
                </w:p>
              </w:tc>
            </w:tr>
          </w:tbl>
          <w:p w14:paraId="479D2E34" w14:textId="77777777" w:rsidR="00422A1E" w:rsidRDefault="00422A1E"/>
        </w:tc>
        <w:tc>
          <w:tcPr>
            <w:tcW w:w="3112" w:type="dxa"/>
            <w:tcBorders>
              <w:top w:val="single" w:sz="4" w:space="0" w:color="FFFFFF" w:themeColor="background1"/>
              <w:left w:val="single" w:sz="4" w:space="0" w:color="008576"/>
              <w:bottom w:val="single" w:sz="4" w:space="0" w:color="008576"/>
              <w:right w:val="single" w:sz="4" w:space="0" w:color="008576"/>
            </w:tcBorders>
          </w:tcPr>
          <w:p w14:paraId="74025BED" w14:textId="77777777" w:rsidR="00422A1E" w:rsidRDefault="00422A1E"/>
        </w:tc>
      </w:tr>
    </w:tbl>
    <w:p w14:paraId="25697202" w14:textId="6367B256" w:rsidR="00EB78D8" w:rsidRDefault="00EB78D8"/>
    <w:p w14:paraId="1C318102" w14:textId="77777777" w:rsidR="00EB78D8" w:rsidRDefault="00EB78D8">
      <w:r>
        <w:br w:type="page"/>
      </w:r>
    </w:p>
    <w:p w14:paraId="706A1EB2" w14:textId="1D152B80" w:rsidR="00A640AA" w:rsidRDefault="00DB6CD1" w:rsidP="00DB6CD1">
      <w:pPr>
        <w:pStyle w:val="Heading1"/>
      </w:pPr>
      <w:bookmarkStart w:id="1" w:name="_Toc235084433"/>
      <w:r>
        <w:lastRenderedPageBreak/>
        <w:t>Summary</w:t>
      </w:r>
      <w:bookmarkEnd w:id="1"/>
    </w:p>
    <w:p w14:paraId="219F3BFA" w14:textId="77777777" w:rsidR="00B54F44" w:rsidRPr="00B54F44" w:rsidRDefault="00B54F44" w:rsidP="00B54F44">
      <w:pPr>
        <w:rPr>
          <w:b/>
          <w:bCs/>
          <w:color w:val="008576"/>
        </w:rPr>
      </w:pPr>
      <w:r w:rsidRPr="00B54F44">
        <w:rPr>
          <w:b/>
          <w:bCs/>
          <w:color w:val="008576"/>
        </w:rPr>
        <w:t>What?</w:t>
      </w:r>
    </w:p>
    <w:p w14:paraId="74CCB850" w14:textId="77777777" w:rsidR="00B54F44" w:rsidRPr="00B54F44" w:rsidRDefault="00B54F44" w:rsidP="007E63EF">
      <w:pPr>
        <w:numPr>
          <w:ilvl w:val="1"/>
          <w:numId w:val="2"/>
        </w:numPr>
        <w:spacing w:line="360" w:lineRule="auto"/>
        <w:jc w:val="both"/>
      </w:pPr>
      <w:r w:rsidRPr="00B54F44">
        <w:t xml:space="preserve">To include within the DCUSA legal text Schedule 17, solutions (previously approved by Ofgem) which can be applied by affected DNOs in instances of excessive surplus residual revenue within the Forward Cost Pricing (FCP) Extra High Voltage Distribution Charging Methodology (EDCM) model at a tariff set case. This is intended to be an interim solution to avoid the need for annual derogation requests until such time the DUoS SCR (or another project/Change Proposal) has progressed a more robust and enduring solution.  </w:t>
      </w:r>
    </w:p>
    <w:p w14:paraId="6CC7D4BD" w14:textId="77777777" w:rsidR="00B54F44" w:rsidRPr="00B54F44" w:rsidRDefault="00B54F44" w:rsidP="00B54F44">
      <w:pPr>
        <w:rPr>
          <w:b/>
          <w:bCs/>
          <w:color w:val="008576"/>
        </w:rPr>
      </w:pPr>
      <w:r w:rsidRPr="00B54F44">
        <w:rPr>
          <w:b/>
          <w:bCs/>
          <w:color w:val="008576"/>
        </w:rPr>
        <w:t>Why?</w:t>
      </w:r>
    </w:p>
    <w:p w14:paraId="49394448" w14:textId="77777777" w:rsidR="00B54F44" w:rsidRPr="00B54F44" w:rsidRDefault="00B54F44" w:rsidP="007E63EF">
      <w:pPr>
        <w:numPr>
          <w:ilvl w:val="1"/>
          <w:numId w:val="2"/>
        </w:numPr>
        <w:spacing w:line="360" w:lineRule="auto"/>
        <w:jc w:val="both"/>
      </w:pPr>
      <w:r w:rsidRPr="00B54F44">
        <w:t>Since late 2023 (2025-26 tariff set case), two out of three DNOs who apply the FCP charging methodology have experienced at some point excessive surplus residual revenue</w:t>
      </w:r>
      <w:r w:rsidRPr="00B54F44">
        <w:rPr>
          <w:vertAlign w:val="superscript"/>
        </w:rPr>
        <w:footnoteReference w:id="1"/>
      </w:r>
      <w:r w:rsidRPr="00B54F44">
        <w:t xml:space="preserve">. This is demonstrated through credit fixed charge rates (p/MPAN/day) for Final Demand customers which Ofgem agreed is not cost-reflective.   </w:t>
      </w:r>
    </w:p>
    <w:p w14:paraId="34FD4E1B" w14:textId="77777777" w:rsidR="00B54F44" w:rsidRPr="00B54F44" w:rsidRDefault="00B54F44" w:rsidP="00B54F44">
      <w:pPr>
        <w:rPr>
          <w:b/>
          <w:bCs/>
          <w:color w:val="008576"/>
        </w:rPr>
      </w:pPr>
      <w:r w:rsidRPr="00B54F44">
        <w:rPr>
          <w:b/>
          <w:bCs/>
          <w:color w:val="008576"/>
        </w:rPr>
        <w:t>How?</w:t>
      </w:r>
    </w:p>
    <w:p w14:paraId="74AA3460" w14:textId="77777777" w:rsidR="00B54F44" w:rsidRPr="00B54F44" w:rsidRDefault="00B54F44" w:rsidP="007E63EF">
      <w:pPr>
        <w:numPr>
          <w:ilvl w:val="1"/>
          <w:numId w:val="2"/>
        </w:numPr>
        <w:spacing w:line="360" w:lineRule="auto"/>
        <w:jc w:val="both"/>
      </w:pPr>
      <w:r w:rsidRPr="00B54F44">
        <w:t xml:space="preserve">In November 2024, Ofgem published a guidance document titled ‘Managing the effects of surplus residual charges guidance’ outlining the intervention options affected DNOs should apply to the 2026-27 FCP EDCM models if excessive surplus residual revenue occurred (option naming below is as per the Ofgem document): </w:t>
      </w:r>
    </w:p>
    <w:p w14:paraId="40A84D85" w14:textId="77777777" w:rsidR="00B54F44" w:rsidRPr="00B54F44" w:rsidRDefault="00B54F44" w:rsidP="00F54D65">
      <w:pPr>
        <w:numPr>
          <w:ilvl w:val="1"/>
          <w:numId w:val="6"/>
        </w:numPr>
        <w:spacing w:line="360" w:lineRule="auto"/>
        <w:ind w:left="993"/>
      </w:pPr>
      <w:r w:rsidRPr="00B54F44">
        <w:t xml:space="preserve">Option 1: Reapportion negative fixed charges for final demand consumers within a residual band to the capacity charge for the same group of consumers. To be used when the principal cause of excessive surplus residual is a reduction in allowed revenue.  </w:t>
      </w:r>
    </w:p>
    <w:p w14:paraId="13B2D0E5" w14:textId="77777777" w:rsidR="00B54F44" w:rsidRPr="00B54F44" w:rsidRDefault="00B54F44" w:rsidP="00F54D65">
      <w:pPr>
        <w:numPr>
          <w:ilvl w:val="1"/>
          <w:numId w:val="6"/>
        </w:numPr>
        <w:spacing w:line="360" w:lineRule="auto"/>
        <w:ind w:left="993"/>
      </w:pPr>
      <w:r w:rsidRPr="00B54F44">
        <w:t xml:space="preserve">Option 3: Carry over locational components and network use factors from previous years. To be used when the principal cause of excessive residual surplus is an increase in forward-looking charges. </w:t>
      </w:r>
    </w:p>
    <w:p w14:paraId="4E04920B" w14:textId="77777777" w:rsidR="00B54F44" w:rsidRPr="00B54F44" w:rsidRDefault="00B54F44" w:rsidP="007E63EF">
      <w:pPr>
        <w:numPr>
          <w:ilvl w:val="1"/>
          <w:numId w:val="2"/>
        </w:numPr>
        <w:spacing w:line="360" w:lineRule="auto"/>
        <w:jc w:val="both"/>
      </w:pPr>
      <w:r w:rsidRPr="00B54F44">
        <w:t xml:space="preserve">In February 2026 for 2027/28 Tariff setting purposes, an additional intervention option was approved for implementation by Ofgem. This was driven by the Authorised Network Model failing to converge due to the scale of load growth in the Holistic Transition scenario and the significant number of new EDCM customers forecast to connect.       </w:t>
      </w:r>
    </w:p>
    <w:p w14:paraId="20639A52" w14:textId="77777777" w:rsidR="00B54F44" w:rsidRPr="00B54F44" w:rsidRDefault="00B54F44" w:rsidP="00F54D65">
      <w:pPr>
        <w:numPr>
          <w:ilvl w:val="1"/>
          <w:numId w:val="7"/>
        </w:numPr>
        <w:spacing w:line="360" w:lineRule="auto"/>
        <w:ind w:left="993"/>
      </w:pPr>
      <w:r w:rsidRPr="00B54F44">
        <w:t xml:space="preserve">NGED applied the load growth assumptions used for the 2026/27 charging year within the 2027/28 Authorised Network Model, resulting in no excessive surplus residual revenue in the EDCM. </w:t>
      </w:r>
    </w:p>
    <w:p w14:paraId="108F68D3" w14:textId="77777777" w:rsidR="00F54D65" w:rsidRDefault="00F54D65" w:rsidP="00B54F44">
      <w:pPr>
        <w:rPr>
          <w:b/>
          <w:bCs/>
          <w:color w:val="008576"/>
        </w:rPr>
      </w:pPr>
    </w:p>
    <w:p w14:paraId="06ACB62E" w14:textId="77777777" w:rsidR="00F54D65" w:rsidRDefault="00F54D65" w:rsidP="00B54F44">
      <w:pPr>
        <w:rPr>
          <w:b/>
          <w:bCs/>
          <w:color w:val="008576"/>
        </w:rPr>
      </w:pPr>
    </w:p>
    <w:p w14:paraId="28240BF7" w14:textId="68B519D4" w:rsidR="00B54F44" w:rsidRPr="00B54F44" w:rsidRDefault="00B54F44" w:rsidP="00B54F44">
      <w:pPr>
        <w:rPr>
          <w:b/>
          <w:bCs/>
          <w:color w:val="008576"/>
        </w:rPr>
      </w:pPr>
      <w:r w:rsidRPr="00B54F44">
        <w:rPr>
          <w:b/>
          <w:bCs/>
          <w:color w:val="008576"/>
        </w:rPr>
        <w:lastRenderedPageBreak/>
        <w:t>Who?</w:t>
      </w:r>
    </w:p>
    <w:p w14:paraId="4C4F3E84" w14:textId="1034BC46" w:rsidR="00A36DB8" w:rsidRDefault="00B54F44" w:rsidP="007E63EF">
      <w:pPr>
        <w:numPr>
          <w:ilvl w:val="1"/>
          <w:numId w:val="2"/>
        </w:numPr>
        <w:spacing w:line="360" w:lineRule="auto"/>
        <w:jc w:val="both"/>
      </w:pPr>
      <w:r w:rsidRPr="00B54F44">
        <w:t xml:space="preserve">As this proposal relates to EDCM DUoS charges, it may impact DNOs, Suppliers, IDNOs, CVA registrants and Consumers. </w:t>
      </w:r>
    </w:p>
    <w:p w14:paraId="087DD2BD" w14:textId="2E4D48CC" w:rsidR="00BF295F" w:rsidRDefault="00DB6CD1" w:rsidP="00BF295F">
      <w:pPr>
        <w:pStyle w:val="Heading1"/>
      </w:pPr>
      <w:bookmarkStart w:id="2" w:name="_Toc235084434"/>
      <w:r>
        <w:t>Governance</w:t>
      </w:r>
      <w:bookmarkEnd w:id="2"/>
    </w:p>
    <w:p w14:paraId="33B1182D" w14:textId="4B81F280" w:rsidR="00BF295F" w:rsidRDefault="0001187C" w:rsidP="007E63EF">
      <w:pPr>
        <w:numPr>
          <w:ilvl w:val="1"/>
          <w:numId w:val="2"/>
        </w:numPr>
        <w:spacing w:line="360" w:lineRule="auto"/>
        <w:jc w:val="both"/>
      </w:pPr>
      <w:r w:rsidRPr="0001187C">
        <w:t>This CP is a Part 1 Matter as it may have a significant impact on the interests of electricity consumers and may discriminate in its effects between one Party (or class of Parties) and another Party (or class of Parties)</w:t>
      </w:r>
      <w:r w:rsidR="00835043">
        <w:t>.</w:t>
      </w:r>
    </w:p>
    <w:p w14:paraId="7611226F" w14:textId="055D305F" w:rsidR="00BF295F" w:rsidRDefault="00DB6CD1" w:rsidP="00BF295F">
      <w:pPr>
        <w:pStyle w:val="Heading1"/>
      </w:pPr>
      <w:bookmarkStart w:id="3" w:name="_Toc235084435"/>
      <w:r>
        <w:t>Why Change?</w:t>
      </w:r>
      <w:bookmarkEnd w:id="3"/>
    </w:p>
    <w:p w14:paraId="1FD98581" w14:textId="77777777" w:rsidR="00E935D5" w:rsidRDefault="00E935D5" w:rsidP="007E63EF">
      <w:pPr>
        <w:numPr>
          <w:ilvl w:val="1"/>
          <w:numId w:val="2"/>
        </w:numPr>
        <w:spacing w:line="360" w:lineRule="auto"/>
        <w:jc w:val="both"/>
      </w:pPr>
      <w:r>
        <w:t>This change is required to prevent the need for repeated future derogation requests, which will improve efficiency and prevent unnecessary delays in setting charges.</w:t>
      </w:r>
    </w:p>
    <w:p w14:paraId="68F9443D" w14:textId="76E37B5A" w:rsidR="00BF295F" w:rsidRDefault="00E935D5" w:rsidP="007E63EF">
      <w:pPr>
        <w:numPr>
          <w:ilvl w:val="1"/>
          <w:numId w:val="2"/>
        </w:numPr>
        <w:spacing w:line="360" w:lineRule="auto"/>
        <w:jc w:val="both"/>
      </w:pPr>
      <w:r>
        <w:t>It is intended that this solution be temporary and should be replaced following a review of these arrangements, through the DUoS SCR or another Ofgem-led initiative.</w:t>
      </w:r>
    </w:p>
    <w:p w14:paraId="6CB81663" w14:textId="25C5BECA" w:rsidR="00BF295F" w:rsidRDefault="00DB6CD1" w:rsidP="00BF295F">
      <w:pPr>
        <w:pStyle w:val="Heading1"/>
      </w:pPr>
      <w:bookmarkStart w:id="4" w:name="_Toc235084436"/>
      <w:r>
        <w:t xml:space="preserve">Working Group </w:t>
      </w:r>
      <w:r w:rsidR="00950AE9">
        <w:t xml:space="preserve">Initial </w:t>
      </w:r>
      <w:r>
        <w:t>Assessment</w:t>
      </w:r>
      <w:bookmarkEnd w:id="4"/>
    </w:p>
    <w:p w14:paraId="0CE3F3BC" w14:textId="457ECD07" w:rsidR="007E63EF" w:rsidRPr="00A06218" w:rsidRDefault="007E63EF" w:rsidP="00A06218">
      <w:pPr>
        <w:rPr>
          <w:b/>
          <w:bCs/>
          <w:color w:val="008576"/>
        </w:rPr>
      </w:pPr>
      <w:r w:rsidRPr="00A06218">
        <w:rPr>
          <w:b/>
          <w:bCs/>
          <w:color w:val="008576"/>
        </w:rPr>
        <w:t>DCP 4</w:t>
      </w:r>
      <w:r w:rsidRPr="00A06218">
        <w:rPr>
          <w:b/>
          <w:bCs/>
          <w:color w:val="008576"/>
        </w:rPr>
        <w:t>77</w:t>
      </w:r>
      <w:r w:rsidRPr="00A06218">
        <w:rPr>
          <w:b/>
          <w:bCs/>
          <w:color w:val="008576"/>
        </w:rPr>
        <w:t xml:space="preserve"> Working Group Assessment </w:t>
      </w:r>
    </w:p>
    <w:p w14:paraId="200A2F77" w14:textId="5B30EFD6" w:rsidR="007E63EF" w:rsidRPr="007E63EF" w:rsidRDefault="007E63EF" w:rsidP="007E63EF">
      <w:pPr>
        <w:numPr>
          <w:ilvl w:val="1"/>
          <w:numId w:val="2"/>
        </w:numPr>
        <w:spacing w:line="360" w:lineRule="auto"/>
        <w:jc w:val="both"/>
      </w:pPr>
      <w:r w:rsidRPr="007E63EF">
        <w:t>The DCUSA Panel established a Working Group to assess and develop DCP 4</w:t>
      </w:r>
      <w:r>
        <w:t>77</w:t>
      </w:r>
      <w:r w:rsidRPr="007E63EF">
        <w:t xml:space="preserve">: </w:t>
      </w:r>
      <w:r w:rsidRPr="007E63EF">
        <w:rPr>
          <w:i/>
          <w:iCs/>
        </w:rPr>
        <w:t>Managing the effects of excessive surplus residual revenue in the EDCM</w:t>
      </w:r>
      <w:r w:rsidRPr="007E63EF">
        <w:t xml:space="preserve">. </w:t>
      </w:r>
    </w:p>
    <w:p w14:paraId="41CBBC9A" w14:textId="75E9A259" w:rsidR="007E63EF" w:rsidRDefault="007E63EF" w:rsidP="007E63EF">
      <w:pPr>
        <w:numPr>
          <w:ilvl w:val="1"/>
          <w:numId w:val="2"/>
        </w:numPr>
        <w:spacing w:line="360" w:lineRule="auto"/>
        <w:jc w:val="both"/>
      </w:pPr>
      <w:r w:rsidRPr="007E63EF">
        <w:t xml:space="preserve">In total, the Working Group has </w:t>
      </w:r>
      <w:r w:rsidRPr="007E63EF">
        <w:rPr>
          <w:b/>
          <w:bCs/>
        </w:rPr>
        <w:t xml:space="preserve">11 active members </w:t>
      </w:r>
      <w:r w:rsidRPr="007E63EF">
        <w:t xml:space="preserve">representing a cross-section of </w:t>
      </w:r>
      <w:r w:rsidRPr="007E63EF">
        <w:rPr>
          <w:b/>
          <w:bCs/>
        </w:rPr>
        <w:t>DNO, IDNO</w:t>
      </w:r>
      <w:r w:rsidR="00A06218">
        <w:rPr>
          <w:b/>
          <w:bCs/>
        </w:rPr>
        <w:t>, Supplier</w:t>
      </w:r>
      <w:r w:rsidRPr="007E63EF">
        <w:rPr>
          <w:b/>
          <w:bCs/>
        </w:rPr>
        <w:t xml:space="preserve"> and Generator </w:t>
      </w:r>
      <w:r w:rsidRPr="007E63EF">
        <w:t>categories</w:t>
      </w:r>
      <w:r w:rsidR="00A06218">
        <w:t xml:space="preserve"> as well as a consultancy</w:t>
      </w:r>
      <w:r w:rsidRPr="007E63EF">
        <w:t xml:space="preserve">, supported by the Code Administrator and Technical Secretariat. </w:t>
      </w:r>
    </w:p>
    <w:p w14:paraId="400F27A7" w14:textId="19BE4AFA" w:rsidR="007E63EF" w:rsidRPr="007E63EF" w:rsidRDefault="007E63EF" w:rsidP="007E63EF">
      <w:pPr>
        <w:numPr>
          <w:ilvl w:val="1"/>
          <w:numId w:val="2"/>
        </w:numPr>
        <w:spacing w:line="360" w:lineRule="auto"/>
        <w:jc w:val="both"/>
      </w:pPr>
      <w:r w:rsidRPr="007E63EF">
        <w:t xml:space="preserve">Prior to issuing the consultation, the Working Group held </w:t>
      </w:r>
      <w:r>
        <w:rPr>
          <w:b/>
          <w:bCs/>
        </w:rPr>
        <w:t>three</w:t>
      </w:r>
      <w:r w:rsidRPr="007E63EF">
        <w:rPr>
          <w:b/>
          <w:bCs/>
        </w:rPr>
        <w:t xml:space="preserve"> formal meetings </w:t>
      </w:r>
      <w:r w:rsidRPr="007E63EF">
        <w:t xml:space="preserve">between </w:t>
      </w:r>
      <w:r w:rsidR="00A06218">
        <w:t>June</w:t>
      </w:r>
      <w:r w:rsidRPr="007E63EF">
        <w:t xml:space="preserve"> and </w:t>
      </w:r>
      <w:r w:rsidR="00A06218">
        <w:t>July</w:t>
      </w:r>
      <w:r w:rsidRPr="007E63EF">
        <w:t xml:space="preserve"> 202</w:t>
      </w:r>
      <w:r w:rsidR="00A06218">
        <w:t>6</w:t>
      </w:r>
      <w:r w:rsidRPr="007E63EF">
        <w:t xml:space="preserve"> and developed a consultation document to gather information and feedback from market participants on this CP. During its development of DCP 4</w:t>
      </w:r>
      <w:r w:rsidR="00A06218">
        <w:t>77</w:t>
      </w:r>
      <w:r w:rsidRPr="007E63EF">
        <w:t xml:space="preserve">, it was agreed by the Working Group that the following items should be addressed in the consultation: </w:t>
      </w:r>
    </w:p>
    <w:p w14:paraId="22932C3E" w14:textId="0315040B" w:rsidR="00A06218" w:rsidRDefault="007E63EF" w:rsidP="00A06218">
      <w:pPr>
        <w:pStyle w:val="ListParagraph"/>
        <w:numPr>
          <w:ilvl w:val="0"/>
          <w:numId w:val="9"/>
        </w:numPr>
        <w:spacing w:line="360" w:lineRule="auto"/>
        <w:jc w:val="both"/>
      </w:pPr>
      <w:r w:rsidRPr="007E63EF">
        <w:t xml:space="preserve">An assessment of the reasons for </w:t>
      </w:r>
      <w:r w:rsidR="00A06218">
        <w:t xml:space="preserve">including </w:t>
      </w:r>
      <w:r w:rsidRPr="007E63EF">
        <w:t xml:space="preserve">the </w:t>
      </w:r>
      <w:r w:rsidR="00A06218">
        <w:t xml:space="preserve">three solutions </w:t>
      </w:r>
      <w:r w:rsidR="00A06218" w:rsidRPr="00A06218">
        <w:t>previously approved through derogations, to the DCUSA</w:t>
      </w:r>
      <w:r w:rsidR="00A06218">
        <w:t>.</w:t>
      </w:r>
    </w:p>
    <w:p w14:paraId="207104FE" w14:textId="07F08CD7" w:rsidR="007E63EF" w:rsidRPr="007E63EF" w:rsidRDefault="00A06218" w:rsidP="00A06218">
      <w:pPr>
        <w:pStyle w:val="ListParagraph"/>
        <w:numPr>
          <w:ilvl w:val="0"/>
          <w:numId w:val="9"/>
        </w:numPr>
        <w:spacing w:line="360" w:lineRule="auto"/>
        <w:jc w:val="both"/>
      </w:pPr>
      <w:r>
        <w:t xml:space="preserve">An </w:t>
      </w:r>
      <w:r w:rsidRPr="00A06218">
        <w:t>assessment of criteria for when each solution, or multiple solutions, can be used by the DNO</w:t>
      </w:r>
      <w:r>
        <w:t>s</w:t>
      </w:r>
      <w:r w:rsidR="007E63EF" w:rsidRPr="007E63EF">
        <w:t xml:space="preserve">. </w:t>
      </w:r>
    </w:p>
    <w:p w14:paraId="4E98FD3B" w14:textId="4254E2FB" w:rsidR="007E63EF" w:rsidRDefault="007E63EF" w:rsidP="007E63EF">
      <w:pPr>
        <w:pStyle w:val="ListParagraph"/>
        <w:numPr>
          <w:ilvl w:val="0"/>
          <w:numId w:val="9"/>
        </w:numPr>
        <w:spacing w:line="360" w:lineRule="auto"/>
        <w:jc w:val="both"/>
      </w:pPr>
      <w:r w:rsidRPr="007E63EF">
        <w:t xml:space="preserve">An assessment of </w:t>
      </w:r>
      <w:r w:rsidR="00A06218">
        <w:t>whether there were any other options to deal with issue of excessive negative residual charges produced by the FCP variant of the EDCM.</w:t>
      </w:r>
    </w:p>
    <w:p w14:paraId="54A9A616" w14:textId="0C3AE479" w:rsidR="00A06218" w:rsidRPr="00B613D0" w:rsidRDefault="00A06218" w:rsidP="00B613D0">
      <w:pPr>
        <w:rPr>
          <w:b/>
          <w:bCs/>
          <w:color w:val="008576"/>
        </w:rPr>
      </w:pPr>
      <w:r w:rsidRPr="00B613D0">
        <w:rPr>
          <w:b/>
          <w:bCs/>
          <w:color w:val="008576"/>
        </w:rPr>
        <w:t>An assessment of the reasons for including the three solutions previously approved through derogations, to the DCUSA</w:t>
      </w:r>
    </w:p>
    <w:p w14:paraId="639787D4" w14:textId="647A9AFE" w:rsidR="009837BC" w:rsidRDefault="009837BC" w:rsidP="007E63EF">
      <w:pPr>
        <w:pStyle w:val="ListParagraph"/>
        <w:numPr>
          <w:ilvl w:val="1"/>
          <w:numId w:val="2"/>
        </w:numPr>
        <w:spacing w:line="360" w:lineRule="auto"/>
        <w:jc w:val="both"/>
      </w:pPr>
      <w:r>
        <w:lastRenderedPageBreak/>
        <w:t>The Working Group noted that the three solutions contained within DCP 477 have previously been approved by Ofgem through the derogation process and have been used by DNOs to resolve instances of excessive surplus residual revenue within the EDCM.</w:t>
      </w:r>
    </w:p>
    <w:p w14:paraId="4742CD98" w14:textId="355ECAED" w:rsidR="009837BC" w:rsidRDefault="009837BC" w:rsidP="007E63EF">
      <w:pPr>
        <w:pStyle w:val="ListParagraph"/>
        <w:numPr>
          <w:ilvl w:val="1"/>
          <w:numId w:val="2"/>
        </w:numPr>
        <w:spacing w:line="360" w:lineRule="auto"/>
        <w:jc w:val="both"/>
      </w:pPr>
      <w:r>
        <w:t xml:space="preserve">The Working Group's initial view </w:t>
      </w:r>
      <w:r w:rsidR="00B414D4">
        <w:t>wa</w:t>
      </w:r>
      <w:r>
        <w:t>s that there may be benefit in incorporating these solutions directly into the DCUSA, providing greater certainty, consistency and efficiency by removing or reducing the need for future derogation requests where similar circumstances arise.</w:t>
      </w:r>
    </w:p>
    <w:p w14:paraId="6D3FBB97" w14:textId="0101C677" w:rsidR="00BF295F" w:rsidRDefault="009837BC" w:rsidP="007E63EF">
      <w:pPr>
        <w:numPr>
          <w:ilvl w:val="1"/>
          <w:numId w:val="2"/>
        </w:numPr>
        <w:spacing w:line="360" w:lineRule="auto"/>
        <w:jc w:val="both"/>
      </w:pPr>
      <w:r>
        <w:t xml:space="preserve">The Working Group </w:t>
      </w:r>
      <w:r w:rsidR="00B414D4">
        <w:t>sought views</w:t>
      </w:r>
      <w:r w:rsidR="00893558">
        <w:t xml:space="preserve"> from Parties </w:t>
      </w:r>
      <w:r>
        <w:t>on whether these previously approved solutions should now be formalised within the DCUSA.</w:t>
      </w:r>
    </w:p>
    <w:p w14:paraId="2A321098" w14:textId="547C8C85" w:rsidR="00A06218" w:rsidRPr="00B613D0" w:rsidRDefault="00A06218" w:rsidP="00B613D0">
      <w:pPr>
        <w:rPr>
          <w:b/>
          <w:bCs/>
          <w:color w:val="008576"/>
        </w:rPr>
      </w:pPr>
      <w:r w:rsidRPr="00B613D0">
        <w:rPr>
          <w:b/>
          <w:bCs/>
          <w:color w:val="008576"/>
        </w:rPr>
        <w:t>An assessment of criteria for when each solution, or multiple solutions, can be used by the DNOs.</w:t>
      </w:r>
    </w:p>
    <w:p w14:paraId="74E4CBE8" w14:textId="77777777" w:rsidR="00A04537" w:rsidRDefault="00A04537" w:rsidP="007E63EF">
      <w:pPr>
        <w:numPr>
          <w:ilvl w:val="1"/>
          <w:numId w:val="2"/>
        </w:numPr>
        <w:spacing w:line="360" w:lineRule="auto"/>
        <w:jc w:val="both"/>
      </w:pPr>
      <w:r>
        <w:t xml:space="preserve">The Working Group developed draft legal text which sets out the circumstances in which each solution may be applied, based on the primary driver of the excessive residual. </w:t>
      </w:r>
    </w:p>
    <w:p w14:paraId="086F7E8B" w14:textId="18338E05" w:rsidR="00A04537" w:rsidRDefault="00A04537" w:rsidP="007E63EF">
      <w:pPr>
        <w:numPr>
          <w:ilvl w:val="1"/>
          <w:numId w:val="2"/>
        </w:numPr>
        <w:spacing w:line="360" w:lineRule="auto"/>
        <w:jc w:val="both"/>
      </w:pPr>
      <w:r>
        <w:t xml:space="preserve">The Working Group's initial view </w:t>
      </w:r>
      <w:r w:rsidR="00893558">
        <w:t>wa</w:t>
      </w:r>
      <w:r>
        <w:t>s that the selection of a solution should be linked to the underlying cause of the excessive surplus residual revenue and the behaviour of the EDCM model in the relevant year.</w:t>
      </w:r>
    </w:p>
    <w:p w14:paraId="4E3C77EE" w14:textId="5072BCD2" w:rsidR="00BF295F" w:rsidRDefault="00A04537" w:rsidP="007E63EF">
      <w:pPr>
        <w:numPr>
          <w:ilvl w:val="1"/>
          <w:numId w:val="2"/>
        </w:numPr>
        <w:spacing w:line="360" w:lineRule="auto"/>
        <w:jc w:val="both"/>
      </w:pPr>
      <w:r>
        <w:t xml:space="preserve">The Working Group </w:t>
      </w:r>
      <w:r w:rsidR="00893558">
        <w:t>sought</w:t>
      </w:r>
      <w:r>
        <w:t xml:space="preserve"> views on whether the proposed criteria are appropriate, sufficiently clear and capable of supporting consistent application across affected DNOs.</w:t>
      </w:r>
    </w:p>
    <w:p w14:paraId="3A0627F5" w14:textId="4599009D" w:rsidR="00A06218" w:rsidRPr="00B613D0" w:rsidRDefault="00A06218" w:rsidP="00B613D0">
      <w:pPr>
        <w:rPr>
          <w:b/>
          <w:bCs/>
          <w:color w:val="008576"/>
        </w:rPr>
      </w:pPr>
      <w:r w:rsidRPr="00B613D0">
        <w:rPr>
          <w:b/>
          <w:bCs/>
          <w:color w:val="008576"/>
        </w:rPr>
        <w:t>An assessment of whether there were any other options to deal with issue of excessive negative residual charges produced by the FCP variant of the EDCM.</w:t>
      </w:r>
    </w:p>
    <w:p w14:paraId="7B88E6C3" w14:textId="310B2BBB" w:rsidR="00B414D4" w:rsidRDefault="00B414D4" w:rsidP="007E63EF">
      <w:pPr>
        <w:numPr>
          <w:ilvl w:val="1"/>
          <w:numId w:val="2"/>
        </w:numPr>
        <w:spacing w:line="360" w:lineRule="auto"/>
        <w:jc w:val="both"/>
      </w:pPr>
      <w:r>
        <w:t>The Working Group recognise</w:t>
      </w:r>
      <w:r w:rsidR="00893558">
        <w:t>d</w:t>
      </w:r>
      <w:r>
        <w:t xml:space="preserve"> that the three solutions included within this CP have been developed to address an immediate and known issue that has previously required derogations.</w:t>
      </w:r>
    </w:p>
    <w:p w14:paraId="4E09B86E" w14:textId="2B6938BD" w:rsidR="00B414D4" w:rsidRDefault="00B414D4" w:rsidP="007E63EF">
      <w:pPr>
        <w:numPr>
          <w:ilvl w:val="1"/>
          <w:numId w:val="2"/>
        </w:numPr>
        <w:spacing w:line="360" w:lineRule="auto"/>
        <w:jc w:val="both"/>
      </w:pPr>
      <w:r>
        <w:t xml:space="preserve">The Working Group's initial view </w:t>
      </w:r>
      <w:r w:rsidR="00893558">
        <w:t>wa</w:t>
      </w:r>
      <w:r>
        <w:t>s that this change proposal should remain narrowly focused on codifying those existing, previously approved solutions within the DCUSA, thereby providing a practical and timely mechanism that can be utilised where similar circumstances arise in future.</w:t>
      </w:r>
    </w:p>
    <w:p w14:paraId="65F53BE2" w14:textId="6C899248" w:rsidR="00B414D4" w:rsidRDefault="00B414D4" w:rsidP="007E63EF">
      <w:pPr>
        <w:numPr>
          <w:ilvl w:val="1"/>
          <w:numId w:val="2"/>
        </w:numPr>
        <w:spacing w:line="360" w:lineRule="auto"/>
        <w:jc w:val="both"/>
      </w:pPr>
      <w:r>
        <w:t xml:space="preserve">The Working Group </w:t>
      </w:r>
      <w:r w:rsidR="00893558">
        <w:t>did</w:t>
      </w:r>
      <w:r>
        <w:t xml:space="preserve"> not consider the proposal to be the appropriate vehicle for the development, assessment or implementation of entirely new approaches, particularly given the accelerated timetable being pursued and the temporary nature of the solutions being formalised.</w:t>
      </w:r>
    </w:p>
    <w:p w14:paraId="0C074AD6" w14:textId="417EBDC0" w:rsidR="00B414D4" w:rsidRDefault="00B414D4" w:rsidP="007E63EF">
      <w:pPr>
        <w:numPr>
          <w:ilvl w:val="1"/>
          <w:numId w:val="2"/>
        </w:numPr>
        <w:spacing w:line="360" w:lineRule="auto"/>
        <w:jc w:val="both"/>
      </w:pPr>
      <w:r>
        <w:t>However, the Working Group acknowledge</w:t>
      </w:r>
      <w:r w:rsidR="00893558">
        <w:t>d</w:t>
      </w:r>
      <w:r>
        <w:t xml:space="preserve"> that stakeholders may identify alternative approaches which could provide a more enduring or efficient solution to the underlying issue of excessive surplus residual revenue within the EDCM. Whilst such alternatives are not currently being considered within the scope of this CP, the Working Group consider</w:t>
      </w:r>
      <w:r w:rsidR="00893558">
        <w:t>ed</w:t>
      </w:r>
      <w:r>
        <w:t xml:space="preserve"> it helpful to capture stakeholder views on any potential future developments.</w:t>
      </w:r>
    </w:p>
    <w:p w14:paraId="2D9DBAAB" w14:textId="72D852E9" w:rsidR="00FC0EFC" w:rsidRDefault="00B414D4" w:rsidP="007E63EF">
      <w:pPr>
        <w:numPr>
          <w:ilvl w:val="1"/>
          <w:numId w:val="2"/>
        </w:numPr>
        <w:spacing w:line="360" w:lineRule="auto"/>
        <w:jc w:val="both"/>
      </w:pPr>
      <w:r>
        <w:t>The Working Group therefore invite</w:t>
      </w:r>
      <w:r w:rsidR="00893558">
        <w:t>d</w:t>
      </w:r>
      <w:r>
        <w:t xml:space="preserve"> stakeholders to identify any alternative solutions that they believe</w:t>
      </w:r>
      <w:r w:rsidR="00893558">
        <w:t>d</w:t>
      </w:r>
      <w:r>
        <w:t xml:space="preserve"> should be explored through a future Change Proposal or be considered by the Authority as part of any wider review of distribution charging arrangements. These suggestions will not form part of the assessment of DCP 477 itself but </w:t>
      </w:r>
      <w:r w:rsidR="00893558">
        <w:t>are</w:t>
      </w:r>
      <w:r>
        <w:t xml:space="preserve"> recorded in </w:t>
      </w:r>
      <w:r w:rsidR="00893558">
        <w:t>this</w:t>
      </w:r>
      <w:r>
        <w:t xml:space="preserve"> Change Report for future consideration by Parties (one of which would need to raise a new Change Proposal) and the Authority.</w:t>
      </w:r>
    </w:p>
    <w:p w14:paraId="43A24AA0" w14:textId="3631D262" w:rsidR="00FC0EFC" w:rsidRDefault="00FC0EFC" w:rsidP="00FC0EFC">
      <w:pPr>
        <w:pStyle w:val="Heading1"/>
      </w:pPr>
      <w:bookmarkStart w:id="5" w:name="_Toc235084437"/>
      <w:r>
        <w:lastRenderedPageBreak/>
        <w:t>Working Group Consultation Review</w:t>
      </w:r>
      <w:bookmarkEnd w:id="5"/>
    </w:p>
    <w:p w14:paraId="68A7F240" w14:textId="3E586FE5" w:rsidR="00A06218" w:rsidRPr="00A06218" w:rsidRDefault="00A06218" w:rsidP="00A06218">
      <w:pPr>
        <w:rPr>
          <w:b/>
          <w:bCs/>
          <w:color w:val="008576"/>
        </w:rPr>
      </w:pPr>
      <w:r w:rsidRPr="00A06218">
        <w:rPr>
          <w:b/>
          <w:bCs/>
          <w:color w:val="008576"/>
        </w:rPr>
        <w:t>Summary of responses to the DCP 4</w:t>
      </w:r>
      <w:r w:rsidR="00041FB6">
        <w:rPr>
          <w:b/>
          <w:bCs/>
          <w:color w:val="008576"/>
        </w:rPr>
        <w:t>77</w:t>
      </w:r>
      <w:r w:rsidRPr="00A06218">
        <w:rPr>
          <w:b/>
          <w:bCs/>
          <w:color w:val="008576"/>
        </w:rPr>
        <w:t xml:space="preserve"> Consultation</w:t>
      </w:r>
    </w:p>
    <w:p w14:paraId="0E0571CC" w14:textId="4DC36FC7" w:rsidR="00A06218" w:rsidRPr="00A06218" w:rsidRDefault="00A06218" w:rsidP="00041FB6">
      <w:pPr>
        <w:numPr>
          <w:ilvl w:val="1"/>
          <w:numId w:val="2"/>
        </w:numPr>
        <w:spacing w:line="360" w:lineRule="auto"/>
        <w:jc w:val="both"/>
      </w:pPr>
      <w:r w:rsidRPr="00A06218">
        <w:t>The DCP 4</w:t>
      </w:r>
      <w:r>
        <w:t>77</w:t>
      </w:r>
      <w:r w:rsidRPr="00A06218">
        <w:t xml:space="preserve"> Working Group issued a consultation on </w:t>
      </w:r>
      <w:r w:rsidR="00041FB6" w:rsidRPr="00041FB6">
        <w:t>14 July 2026 with a response deadline of 31 July 2026</w:t>
      </w:r>
      <w:r w:rsidR="00041FB6">
        <w:t xml:space="preserve"> </w:t>
      </w:r>
      <w:r w:rsidRPr="00A06218">
        <w:t>which sought views from industry on the proposed solution and legal text for DCP 4</w:t>
      </w:r>
      <w:r w:rsidR="00041FB6">
        <w:t>77</w:t>
      </w:r>
      <w:r w:rsidRPr="00A06218">
        <w:t>.</w:t>
      </w:r>
    </w:p>
    <w:p w14:paraId="7830C133" w14:textId="45733114" w:rsidR="00FC0EFC" w:rsidRDefault="00A06218" w:rsidP="00364EE9">
      <w:pPr>
        <w:numPr>
          <w:ilvl w:val="1"/>
          <w:numId w:val="2"/>
        </w:numPr>
        <w:spacing w:line="360" w:lineRule="auto"/>
        <w:jc w:val="both"/>
      </w:pPr>
      <w:r w:rsidRPr="00A06218">
        <w:t xml:space="preserve">There were </w:t>
      </w:r>
      <w:r w:rsidR="00041FB6">
        <w:t>5</w:t>
      </w:r>
      <w:r w:rsidRPr="00A06218">
        <w:t xml:space="preserve"> respondents to the consultation comprising of </w:t>
      </w:r>
      <w:r w:rsidR="00041FB6">
        <w:t xml:space="preserve">4 </w:t>
      </w:r>
      <w:r w:rsidRPr="00A06218">
        <w:t>DNOs and</w:t>
      </w:r>
      <w:r w:rsidR="00041FB6">
        <w:t xml:space="preserve"> 1</w:t>
      </w:r>
      <w:r w:rsidRPr="00A06218">
        <w:t xml:space="preserve"> </w:t>
      </w:r>
      <w:r w:rsidR="00041FB6">
        <w:t>IDNO</w:t>
      </w:r>
      <w:r w:rsidRPr="00A06218">
        <w:t>. Set out below are the questions that the Working Group sought views on, and a summary of the responses received. A copy of the consultation document alongside the Party responses and Working Group conclusions can be found in Attachment 3.</w:t>
      </w:r>
    </w:p>
    <w:p w14:paraId="5E1CB48C" w14:textId="0439BC3A" w:rsidR="007E63EF" w:rsidRDefault="007E63EF" w:rsidP="00041FB6">
      <w:pPr>
        <w:pStyle w:val="Question"/>
      </w:pPr>
      <w:r>
        <w:t>1.</w:t>
      </w:r>
      <w:r>
        <w:t xml:space="preserve"> </w:t>
      </w:r>
      <w:r>
        <w:t>Do you agree with the proposal to add the three solutions, previously approved through derogations, to the DCUSA? Please provide your rationale.</w:t>
      </w:r>
    </w:p>
    <w:p w14:paraId="723A7C20" w14:textId="77777777" w:rsidR="00041FB6" w:rsidRPr="00041FB6" w:rsidRDefault="00041FB6" w:rsidP="00041FB6">
      <w:pPr>
        <w:numPr>
          <w:ilvl w:val="1"/>
          <w:numId w:val="2"/>
        </w:numPr>
        <w:tabs>
          <w:tab w:val="num" w:pos="567"/>
        </w:tabs>
        <w:spacing w:line="360" w:lineRule="auto"/>
        <w:jc w:val="both"/>
      </w:pPr>
      <w:r w:rsidRPr="00041FB6">
        <w:t>The Working Group noted that all five respondents agreed with the proposal to add the three solutions, previously approved through derogations, to the DCUSA and in doing so, they provided rationale that the proposal:</w:t>
      </w:r>
    </w:p>
    <w:p w14:paraId="48B8C2D9" w14:textId="77777777" w:rsidR="00041FB6" w:rsidRPr="00041FB6" w:rsidRDefault="00041FB6" w:rsidP="00041FB6">
      <w:pPr>
        <w:pStyle w:val="ListParagraph"/>
        <w:numPr>
          <w:ilvl w:val="0"/>
          <w:numId w:val="10"/>
        </w:numPr>
      </w:pPr>
      <w:r w:rsidRPr="00041FB6">
        <w:t>should be an interim measure and that some respondents would like to see a long-term solution developed under the DUoS SCR;</w:t>
      </w:r>
    </w:p>
    <w:p w14:paraId="7317D5F9" w14:textId="77777777" w:rsidR="00041FB6" w:rsidRPr="00041FB6" w:rsidRDefault="00041FB6" w:rsidP="00041FB6">
      <w:pPr>
        <w:pStyle w:val="ListParagraph"/>
        <w:numPr>
          <w:ilvl w:val="0"/>
          <w:numId w:val="10"/>
        </w:numPr>
      </w:pPr>
      <w:r w:rsidRPr="00041FB6">
        <w:t>covers all of the required solutions to known issues;</w:t>
      </w:r>
    </w:p>
    <w:p w14:paraId="747894CF" w14:textId="77777777" w:rsidR="00041FB6" w:rsidRPr="00041FB6" w:rsidRDefault="00041FB6" w:rsidP="00041FB6">
      <w:pPr>
        <w:pStyle w:val="ListParagraph"/>
        <w:numPr>
          <w:ilvl w:val="0"/>
          <w:numId w:val="10"/>
        </w:numPr>
      </w:pPr>
      <w:r w:rsidRPr="00041FB6">
        <w:t>provides increased certainty, with respect to when tariffs will be published.</w:t>
      </w:r>
    </w:p>
    <w:p w14:paraId="50F1C402" w14:textId="77777777" w:rsidR="00041FB6" w:rsidRPr="00041FB6" w:rsidRDefault="00041FB6" w:rsidP="00041FB6">
      <w:pPr>
        <w:pStyle w:val="ListParagraph"/>
        <w:numPr>
          <w:ilvl w:val="0"/>
          <w:numId w:val="10"/>
        </w:numPr>
      </w:pPr>
      <w:r w:rsidRPr="00041FB6">
        <w:t>was built based on solutions that have been reviewed and approved by Ofgem before; and</w:t>
      </w:r>
    </w:p>
    <w:p w14:paraId="65F94F79" w14:textId="77777777" w:rsidR="00041FB6" w:rsidRDefault="00041FB6" w:rsidP="00041FB6">
      <w:pPr>
        <w:pStyle w:val="ListParagraph"/>
        <w:numPr>
          <w:ilvl w:val="0"/>
          <w:numId w:val="10"/>
        </w:numPr>
      </w:pPr>
      <w:r w:rsidRPr="00041FB6">
        <w:t>avoids the need for repeated derogation requests which would otherwise result in delays.</w:t>
      </w:r>
    </w:p>
    <w:p w14:paraId="415FCD4D" w14:textId="1A4ADA1C" w:rsidR="007E63EF" w:rsidRDefault="007E63EF" w:rsidP="00041FB6">
      <w:pPr>
        <w:pStyle w:val="Question"/>
      </w:pPr>
      <w:r>
        <w:t>2.</w:t>
      </w:r>
      <w:r>
        <w:t xml:space="preserve"> </w:t>
      </w:r>
      <w:r>
        <w:t>Do you agree with the Working Group’s assessment of criteria for when each solution, or multiple solutions, can be used by the DNO? Please provide your rationale.</w:t>
      </w:r>
    </w:p>
    <w:p w14:paraId="3DA4D7E0" w14:textId="77777777" w:rsidR="00041FB6" w:rsidRDefault="00041FB6" w:rsidP="00041FB6">
      <w:pPr>
        <w:numPr>
          <w:ilvl w:val="1"/>
          <w:numId w:val="2"/>
        </w:numPr>
        <w:tabs>
          <w:tab w:val="num" w:pos="567"/>
        </w:tabs>
        <w:spacing w:line="360" w:lineRule="auto"/>
        <w:jc w:val="both"/>
      </w:pPr>
      <w:r w:rsidRPr="00D575F0">
        <w:t xml:space="preserve">The Working Group noted that respondents broadly supported the proposed criteria but </w:t>
      </w:r>
      <w:r>
        <w:t>that there were two additional items raised, being:</w:t>
      </w:r>
    </w:p>
    <w:p w14:paraId="77FA75CD" w14:textId="77777777" w:rsidR="00041FB6" w:rsidRDefault="00041FB6" w:rsidP="00041FB6">
      <w:pPr>
        <w:pStyle w:val="ListParagraph"/>
        <w:numPr>
          <w:ilvl w:val="0"/>
          <w:numId w:val="10"/>
        </w:numPr>
        <w:spacing w:line="360" w:lineRule="auto"/>
      </w:pPr>
      <w:r>
        <w:t>A request for additional guidance to be developed to supplement the legal text and provide DNOs with clearer, step-by-step direction where the issue is caused by a reduction in allowed revenue as the text doesn’t provide the level of granular instruction on how this is to be completed in practice.</w:t>
      </w:r>
    </w:p>
    <w:p w14:paraId="5E8639F9" w14:textId="77777777" w:rsidR="00041FB6" w:rsidRDefault="00041FB6" w:rsidP="00041FB6">
      <w:pPr>
        <w:pStyle w:val="ListParagraph"/>
        <w:numPr>
          <w:ilvl w:val="0"/>
          <w:numId w:val="10"/>
        </w:numPr>
        <w:spacing w:line="360" w:lineRule="auto"/>
      </w:pPr>
      <w:r>
        <w:t>A request that the legal text include clearer wording regarding the circumstances when each option should be used.</w:t>
      </w:r>
    </w:p>
    <w:p w14:paraId="5E6AF313" w14:textId="77777777" w:rsidR="00041FB6" w:rsidRDefault="00041FB6" w:rsidP="00041FB6">
      <w:pPr>
        <w:numPr>
          <w:ilvl w:val="1"/>
          <w:numId w:val="2"/>
        </w:numPr>
        <w:tabs>
          <w:tab w:val="num" w:pos="567"/>
        </w:tabs>
        <w:spacing w:line="360" w:lineRule="auto"/>
        <w:jc w:val="both"/>
      </w:pPr>
      <w:r w:rsidRPr="00D575F0">
        <w:t>In considering this feedback, the Working Group agreed that additional guidance should be developed to supplement the legal text and provide DNOs with clearer, step-by-step direction</w:t>
      </w:r>
      <w:r>
        <w:t xml:space="preserve"> in terms of implementing the solution to be used </w:t>
      </w:r>
      <w:r w:rsidRPr="00AB224B">
        <w:t>where the issue is caused by a reduction in allowed revenue as the text doesn’t provide the level of granular instruction on how this is to be completed in practice.</w:t>
      </w:r>
      <w:r>
        <w:t xml:space="preserve"> </w:t>
      </w:r>
    </w:p>
    <w:p w14:paraId="47FC1624" w14:textId="77777777" w:rsidR="00041FB6" w:rsidRPr="0022051A" w:rsidRDefault="00041FB6" w:rsidP="00041FB6">
      <w:pPr>
        <w:numPr>
          <w:ilvl w:val="1"/>
          <w:numId w:val="2"/>
        </w:numPr>
        <w:tabs>
          <w:tab w:val="num" w:pos="567"/>
        </w:tabs>
        <w:spacing w:line="360" w:lineRule="auto"/>
        <w:jc w:val="both"/>
      </w:pPr>
      <w:r w:rsidRPr="0022051A">
        <w:t xml:space="preserve">Members discussed the suggestion that supplementary guidance should be developed to support implementation of the proposed intervention to be used where the issue is caused by a reduction in allowed revenue. It was noted that guidance material had previously been developed as part of </w:t>
      </w:r>
      <w:r w:rsidRPr="0022051A">
        <w:lastRenderedPageBreak/>
        <w:t>discussions between impacted DNOs and Ofgem and that this information could provide the basis for additional implementation guidance. Members discussed whether such material should form part of the legal text, be included as an appendix, or be maintained separately as supporting guidance. Whilst no final decision was reached regarding format, the Working Group agreed that development of supplementary guidance would assist future users of the methodology and should be progressed separately without delaying implementation of DCP 477</w:t>
      </w:r>
    </w:p>
    <w:p w14:paraId="2CEA2EAF" w14:textId="77777777" w:rsidR="00041FB6" w:rsidRPr="00041FB6" w:rsidRDefault="00041FB6" w:rsidP="00041FB6">
      <w:pPr>
        <w:numPr>
          <w:ilvl w:val="1"/>
          <w:numId w:val="2"/>
        </w:numPr>
        <w:tabs>
          <w:tab w:val="num" w:pos="567"/>
        </w:tabs>
        <w:spacing w:line="360" w:lineRule="auto"/>
        <w:jc w:val="both"/>
      </w:pPr>
      <w:r w:rsidRPr="00D575F0">
        <w:t>Members also discussed whether a hierarchy should apply between the available options, taking account of previous practice, consistency of approach and the technical challenges associated with forecasting new customers and operating the EDCM model.</w:t>
      </w:r>
    </w:p>
    <w:p w14:paraId="2F0DAD9E" w14:textId="77777777" w:rsidR="00041FB6" w:rsidRPr="00041FB6" w:rsidRDefault="00041FB6" w:rsidP="00041FB6">
      <w:pPr>
        <w:numPr>
          <w:ilvl w:val="1"/>
          <w:numId w:val="2"/>
        </w:numPr>
        <w:tabs>
          <w:tab w:val="num" w:pos="567"/>
        </w:tabs>
        <w:spacing w:line="360" w:lineRule="auto"/>
        <w:jc w:val="both"/>
      </w:pPr>
      <w:r w:rsidRPr="00D575F0">
        <w:t>The Working Group recognised that different DNOs may adopt different approaches because of their individual circumstances. However, members considered that a DNO should ordinarily continue to use the intervention approach previously approved by Ofgem unless a material change in circumstances justified an alternative.</w:t>
      </w:r>
    </w:p>
    <w:p w14:paraId="13FA4159" w14:textId="62F1E52A" w:rsidR="007E63EF" w:rsidRDefault="00041FB6" w:rsidP="00041FB6">
      <w:pPr>
        <w:numPr>
          <w:ilvl w:val="1"/>
          <w:numId w:val="2"/>
        </w:numPr>
        <w:tabs>
          <w:tab w:val="num" w:pos="567"/>
        </w:tabs>
        <w:spacing w:line="360" w:lineRule="auto"/>
        <w:jc w:val="both"/>
      </w:pPr>
      <w:r w:rsidRPr="003308A1">
        <w:t>The Working Group agreed that the legal text should be amended to clarify the circumstances in which each option may be used which is captured within documents previously issued by Ofgem on this topic, including where the model fails to run entirely, and to reinforce consistency with previously applied approaches.</w:t>
      </w:r>
    </w:p>
    <w:p w14:paraId="02A9B785" w14:textId="03ADC2B0" w:rsidR="007E63EF" w:rsidRDefault="007E63EF" w:rsidP="00041FB6">
      <w:pPr>
        <w:pStyle w:val="Question"/>
      </w:pPr>
      <w:r>
        <w:t>3.</w:t>
      </w:r>
      <w:r>
        <w:t xml:space="preserve"> </w:t>
      </w:r>
      <w:r>
        <w:t>Are there any alternative solutions that should be developed through a future Change Proposal or by the Authority as part of a future SCR? Please provide your rationale.</w:t>
      </w:r>
    </w:p>
    <w:p w14:paraId="1DA0C886" w14:textId="77777777" w:rsidR="00041FB6" w:rsidRDefault="00041FB6" w:rsidP="00041FB6">
      <w:pPr>
        <w:numPr>
          <w:ilvl w:val="1"/>
          <w:numId w:val="2"/>
        </w:numPr>
        <w:tabs>
          <w:tab w:val="num" w:pos="567"/>
        </w:tabs>
        <w:spacing w:line="360" w:lineRule="auto"/>
        <w:jc w:val="both"/>
      </w:pPr>
      <w:r>
        <w:t xml:space="preserve">The Working Group noted, that three respondents did not identify any immediate alternatives, one respondent suggested that those DNOs currently using the FCP variant of the EDCM could consider moving to the LRIC variant of the EDCM and the remaining respondent indicated that they planned to submit a future change proposal to address the issue in the mid-term.  </w:t>
      </w:r>
    </w:p>
    <w:p w14:paraId="3C3970AE" w14:textId="2E7291B9" w:rsidR="00041FB6" w:rsidRDefault="00041FB6" w:rsidP="00041FB6">
      <w:pPr>
        <w:numPr>
          <w:ilvl w:val="1"/>
          <w:numId w:val="2"/>
        </w:numPr>
        <w:tabs>
          <w:tab w:val="num" w:pos="567"/>
        </w:tabs>
        <w:spacing w:line="360" w:lineRule="auto"/>
        <w:jc w:val="both"/>
      </w:pPr>
      <w:r>
        <w:t xml:space="preserve">With respect to the suggestion that affected DNOs consider moving to the LRIC variant of the EDCM, it was noted that the rationale for this is because was because it didn’t have any known issues with excessive surplus residual revenue and that in doing so, it would remove the need for an additional schedule within the DCUSA and would ensure all DNOs are using the same processes. In response, members of the Working Group who utilise the FCP variant explained that, whilst this might sound good in theory, it would be a decision that each individual DNO would need to make for themselves, and aside from that, there were a few things to consider, being: </w:t>
      </w:r>
    </w:p>
    <w:p w14:paraId="02A49F4D" w14:textId="6E0EBD02" w:rsidR="00041FB6" w:rsidRDefault="00041FB6" w:rsidP="00041FB6">
      <w:pPr>
        <w:pStyle w:val="ListParagraph"/>
        <w:numPr>
          <w:ilvl w:val="0"/>
          <w:numId w:val="10"/>
        </w:numPr>
        <w:spacing w:line="360" w:lineRule="auto"/>
      </w:pPr>
      <w:r>
        <w:t xml:space="preserve">that moving to alternative methodologies would require significant time and resources to implement and thus would not necessarily be a quick fix; </w:t>
      </w:r>
    </w:p>
    <w:p w14:paraId="00800985" w14:textId="35530657" w:rsidR="00041FB6" w:rsidRDefault="00041FB6" w:rsidP="00041FB6">
      <w:pPr>
        <w:pStyle w:val="ListParagraph"/>
        <w:numPr>
          <w:ilvl w:val="0"/>
          <w:numId w:val="10"/>
        </w:numPr>
        <w:spacing w:line="360" w:lineRule="auto"/>
      </w:pPr>
      <w:r>
        <w:t xml:space="preserve">that the LRIC variant of the EDCM potentially has other issues which would warrant further investigation and discussion (e.g., whether its use of a 40 year time horizon and flat 1% load growth scenarios remain appropriate); and </w:t>
      </w:r>
    </w:p>
    <w:p w14:paraId="3BF69606" w14:textId="7CF4C118" w:rsidR="007E63EF" w:rsidRDefault="00041FB6" w:rsidP="00041FB6">
      <w:pPr>
        <w:pStyle w:val="ListParagraph"/>
        <w:numPr>
          <w:ilvl w:val="0"/>
          <w:numId w:val="10"/>
        </w:numPr>
        <w:spacing w:line="360" w:lineRule="auto"/>
      </w:pPr>
      <w:r>
        <w:t>that it would likely result in substantially different tariffs for EHV end users, and that this volatility would likely be an issue for end customers.</w:t>
      </w:r>
    </w:p>
    <w:p w14:paraId="61BBC845" w14:textId="77777777" w:rsidR="007E63EF" w:rsidRDefault="007E63EF" w:rsidP="00041FB6">
      <w:pPr>
        <w:pStyle w:val="Question"/>
      </w:pPr>
      <w:r>
        <w:lastRenderedPageBreak/>
        <w:t>4.</w:t>
      </w:r>
      <w:r>
        <w:t xml:space="preserve"> </w:t>
      </w:r>
      <w:r>
        <w:t>Do you believe the proposed solution better facilitates the DCUSA Charging Objectives? Please provide your rationale.</w:t>
      </w:r>
    </w:p>
    <w:p w14:paraId="25FE91CD" w14:textId="21B7D9D8" w:rsidR="00041FB6" w:rsidRDefault="00364EE9" w:rsidP="00041FB6">
      <w:pPr>
        <w:numPr>
          <w:ilvl w:val="1"/>
          <w:numId w:val="2"/>
        </w:numPr>
        <w:tabs>
          <w:tab w:val="num" w:pos="567"/>
        </w:tabs>
        <w:spacing w:line="360" w:lineRule="auto"/>
        <w:jc w:val="both"/>
      </w:pPr>
      <w:r>
        <w:t>T</w:t>
      </w:r>
      <w:r w:rsidR="00041FB6">
        <w:t>he Working Group noted that all five respondents agreed that the proposal better facilitates DCUSA Charging Objectives, particularly Charging Objectives 1, 2, 3, and 6. The supporting rationale set out in the responses included that DNOs compliance with their licence conditions would be improved as the proposal provides mechanisms for valid tariff production, and that it would also reduce regulatory uncertainty and improve efficiency because DNOs would be able to produce tariffs without the need to rely on Ofgem derogations which results in the delayed publication of tariffs which has knock on impacts across both IDNOs and Suppliers.</w:t>
      </w:r>
    </w:p>
    <w:p w14:paraId="2A22AB4A" w14:textId="1D5D6811" w:rsidR="007E63EF" w:rsidRDefault="00041FB6" w:rsidP="00041FB6">
      <w:pPr>
        <w:numPr>
          <w:ilvl w:val="1"/>
          <w:numId w:val="2"/>
        </w:numPr>
        <w:tabs>
          <w:tab w:val="num" w:pos="567"/>
        </w:tabs>
        <w:spacing w:line="360" w:lineRule="auto"/>
        <w:jc w:val="both"/>
      </w:pPr>
      <w:r>
        <w:t>It was additionally noted that one respondent considered that Charging Objective 4 may also be better facilitated by the proposal, although no other respondents explicitly commented on this point.</w:t>
      </w:r>
    </w:p>
    <w:p w14:paraId="0F11F308" w14:textId="79111628" w:rsidR="007E63EF" w:rsidRDefault="007E63EF" w:rsidP="00041FB6">
      <w:pPr>
        <w:pStyle w:val="Question"/>
      </w:pPr>
      <w:r>
        <w:t>5.</w:t>
      </w:r>
      <w:r>
        <w:t xml:space="preserve"> </w:t>
      </w:r>
      <w:r>
        <w:t>Are there any consumer impacts, benefits or risks arising from the proposal that should be considered as part of the assessment of this CP?</w:t>
      </w:r>
    </w:p>
    <w:p w14:paraId="691F48D6" w14:textId="77777777" w:rsidR="00041FB6" w:rsidRDefault="00041FB6" w:rsidP="00041FB6">
      <w:pPr>
        <w:numPr>
          <w:ilvl w:val="1"/>
          <w:numId w:val="2"/>
        </w:numPr>
        <w:tabs>
          <w:tab w:val="num" w:pos="567"/>
        </w:tabs>
        <w:spacing w:line="360" w:lineRule="auto"/>
        <w:jc w:val="both"/>
      </w:pPr>
      <w:r>
        <w:t>The Working Group noted that respondents generally considered the proposal to formalise arrangements already applied through approved derogations and did not identify any fundamentally new charging approaches or material consumer risks.</w:t>
      </w:r>
    </w:p>
    <w:p w14:paraId="703A3BBD" w14:textId="0F42C271" w:rsidR="00041FB6" w:rsidRDefault="00041FB6" w:rsidP="00041FB6">
      <w:pPr>
        <w:numPr>
          <w:ilvl w:val="1"/>
          <w:numId w:val="2"/>
        </w:numPr>
        <w:tabs>
          <w:tab w:val="num" w:pos="567"/>
        </w:tabs>
        <w:spacing w:line="360" w:lineRule="auto"/>
        <w:jc w:val="both"/>
      </w:pPr>
      <w:r>
        <w:t>The Working Group also noted that the proposed solutions would provide greater stability and certainty in the short term. However, one respondent cautioned that prolonged reliance on these interim arrangements could lead to significant tariff volatility for affected end users when a longer-term solution is introduced.</w:t>
      </w:r>
    </w:p>
    <w:p w14:paraId="60BF864D" w14:textId="16268905" w:rsidR="007E63EF" w:rsidRDefault="00041FB6" w:rsidP="00041FB6">
      <w:pPr>
        <w:numPr>
          <w:ilvl w:val="1"/>
          <w:numId w:val="2"/>
        </w:numPr>
        <w:tabs>
          <w:tab w:val="num" w:pos="567"/>
        </w:tabs>
        <w:spacing w:line="360" w:lineRule="auto"/>
        <w:jc w:val="both"/>
      </w:pPr>
      <w:r>
        <w:t>Members further noted that the complexity of the charging methodologies and associated models means that affected customers may have limited visibility of the factors driving future charging changes. The Working Group recognised that this could make any future transition to a longer-term solution more challenging for impacted customers and that this consideration should be acknowledged as part of the overall assessment of the proposal.</w:t>
      </w:r>
    </w:p>
    <w:p w14:paraId="5F428C63" w14:textId="4BABEED6" w:rsidR="007E63EF" w:rsidRDefault="007E63EF" w:rsidP="00041FB6">
      <w:pPr>
        <w:pStyle w:val="Question"/>
      </w:pPr>
      <w:r>
        <w:t>6.</w:t>
      </w:r>
      <w:r>
        <w:t xml:space="preserve"> </w:t>
      </w:r>
      <w:r>
        <w:t>Aside from the DUoS SCR, are you aware of any other wider industry projects or initiatives that this CP may impact upon?</w:t>
      </w:r>
    </w:p>
    <w:p w14:paraId="120FCB86" w14:textId="44FF6207" w:rsidR="007E63EF" w:rsidRDefault="00041FB6" w:rsidP="00041FB6">
      <w:pPr>
        <w:numPr>
          <w:ilvl w:val="1"/>
          <w:numId w:val="2"/>
        </w:numPr>
        <w:tabs>
          <w:tab w:val="num" w:pos="567"/>
        </w:tabs>
        <w:spacing w:line="360" w:lineRule="auto"/>
        <w:jc w:val="both"/>
      </w:pPr>
      <w:r>
        <w:t>The Working Group</w:t>
      </w:r>
      <w:r w:rsidRPr="00041FB6">
        <w:t xml:space="preserve"> noted that no respondents identified any other wider industry projects or initiatives that DCP 477 may impact upon.</w:t>
      </w:r>
    </w:p>
    <w:p w14:paraId="1710A26F" w14:textId="12B955FD" w:rsidR="007E63EF" w:rsidRDefault="007E63EF" w:rsidP="00041FB6">
      <w:pPr>
        <w:pStyle w:val="Question"/>
      </w:pPr>
      <w:r>
        <w:t>7.</w:t>
      </w:r>
      <w:r>
        <w:t xml:space="preserve"> </w:t>
      </w:r>
      <w:r>
        <w:t>Do you agree with the Working Group’s view that this CP should be implemented by no later than 5 November 2026?</w:t>
      </w:r>
    </w:p>
    <w:p w14:paraId="14CC5299" w14:textId="449C8009" w:rsidR="007E63EF" w:rsidRDefault="00041FB6" w:rsidP="00041FB6">
      <w:pPr>
        <w:numPr>
          <w:ilvl w:val="1"/>
          <w:numId w:val="2"/>
        </w:numPr>
        <w:tabs>
          <w:tab w:val="num" w:pos="567"/>
        </w:tabs>
        <w:spacing w:line="360" w:lineRule="auto"/>
        <w:jc w:val="both"/>
      </w:pPr>
      <w:r>
        <w:t>t</w:t>
      </w:r>
      <w:r w:rsidRPr="003B42A0">
        <w:t>he Working Group noted that all five respondents supported implementing the solution by no later than 5 November 2026</w:t>
      </w:r>
      <w:r>
        <w:t>, T</w:t>
      </w:r>
      <w:r w:rsidRPr="003B42A0">
        <w:t>hree respondents highlight</w:t>
      </w:r>
      <w:r>
        <w:t>ed</w:t>
      </w:r>
      <w:r w:rsidRPr="003B42A0">
        <w:t xml:space="preserve"> that </w:t>
      </w:r>
      <w:r>
        <w:t xml:space="preserve">implementing the </w:t>
      </w:r>
      <w:r w:rsidRPr="003B42A0">
        <w:t xml:space="preserve">solution </w:t>
      </w:r>
      <w:r>
        <w:t xml:space="preserve">by that date would </w:t>
      </w:r>
      <w:r w:rsidRPr="003B42A0">
        <w:t>provide certainty/guidance for DNOs for 2028/29 tariff setting processes</w:t>
      </w:r>
      <w:r>
        <w:t>. T</w:t>
      </w:r>
      <w:r w:rsidRPr="003B42A0">
        <w:t>wo respondents not</w:t>
      </w:r>
      <w:r>
        <w:t>ed</w:t>
      </w:r>
      <w:r w:rsidRPr="003B42A0">
        <w:t xml:space="preserve"> that </w:t>
      </w:r>
      <w:r>
        <w:t xml:space="preserve">implementing the </w:t>
      </w:r>
      <w:r w:rsidRPr="003B42A0">
        <w:t xml:space="preserve">solution </w:t>
      </w:r>
      <w:r>
        <w:t xml:space="preserve">by that date </w:t>
      </w:r>
      <w:r w:rsidRPr="003B42A0">
        <w:t>would remove the need for derogations in the future</w:t>
      </w:r>
      <w:r>
        <w:t>.</w:t>
      </w:r>
    </w:p>
    <w:p w14:paraId="2DE5D8FE" w14:textId="77777777" w:rsidR="00364EE9" w:rsidRDefault="00364EE9" w:rsidP="00364EE9">
      <w:pPr>
        <w:spacing w:line="360" w:lineRule="auto"/>
        <w:jc w:val="both"/>
      </w:pPr>
    </w:p>
    <w:p w14:paraId="7D8983EE" w14:textId="73398050" w:rsidR="007E63EF" w:rsidRDefault="007E63EF" w:rsidP="00041FB6">
      <w:pPr>
        <w:pStyle w:val="Question"/>
      </w:pPr>
      <w:r>
        <w:lastRenderedPageBreak/>
        <w:t>8.</w:t>
      </w:r>
      <w:r>
        <w:t xml:space="preserve"> </w:t>
      </w:r>
      <w:r>
        <w:t>Do you think paragraphs 18.22 to 18.24 should reside under the Demand Scaling header, as currently drafted, or somewhere else (e.g., under a new heading)? If somewhere else, please provide suggestions.</w:t>
      </w:r>
    </w:p>
    <w:p w14:paraId="7E83E286" w14:textId="3370CE09" w:rsidR="00041FB6" w:rsidRDefault="00041FB6" w:rsidP="00041FB6">
      <w:pPr>
        <w:numPr>
          <w:ilvl w:val="1"/>
          <w:numId w:val="2"/>
        </w:numPr>
        <w:tabs>
          <w:tab w:val="num" w:pos="567"/>
        </w:tabs>
        <w:spacing w:line="360" w:lineRule="auto"/>
        <w:jc w:val="both"/>
      </w:pPr>
      <w:r>
        <w:t xml:space="preserve">It was noted that one respondent expressed a preference for a new section heading, while others were comfortable with the current placement of the text (i.e., under the ‘Demand Scaling’ heading) or had no strong views on the matter. It was noted that one respondent had suggested that, given the main body of Schedules 17 and 18 are essentially aligned in terms of their paragraph numbering and text, that there may be reason to amend Schedule 18 to include the proposed 18.22 – 18.24 and 22.5 new numbering with ‘Not Used’ to maintain alignment between the schedules. </w:t>
      </w:r>
    </w:p>
    <w:p w14:paraId="09460281" w14:textId="0D863FB6" w:rsidR="007E63EF" w:rsidRDefault="00041FB6" w:rsidP="00041FB6">
      <w:pPr>
        <w:numPr>
          <w:ilvl w:val="1"/>
          <w:numId w:val="2"/>
        </w:numPr>
        <w:tabs>
          <w:tab w:val="num" w:pos="567"/>
        </w:tabs>
        <w:spacing w:line="360" w:lineRule="auto"/>
        <w:jc w:val="both"/>
      </w:pPr>
      <w:r>
        <w:t xml:space="preserve">Whilst members acknowledged the rationale behind maintaining alignment between Schedules 17 and 18, the Working Group did not reach a definitive view regarding whether additional "Not Used" provisions should be introduced solely for drafting consistency purposes. </w:t>
      </w:r>
      <w:r>
        <w:t xml:space="preserve">It was agreed that this point would </w:t>
      </w:r>
      <w:r>
        <w:t>be referred to the legal advisors when the updated legal text is submitted for review, allowing specialist drafting advice to be obtained before any decision is taken.</w:t>
      </w:r>
    </w:p>
    <w:p w14:paraId="5DDACDF4" w14:textId="13F1305E" w:rsidR="007E63EF" w:rsidRDefault="007E63EF" w:rsidP="00041FB6">
      <w:pPr>
        <w:pStyle w:val="Question"/>
      </w:pPr>
      <w:r>
        <w:t>9.</w:t>
      </w:r>
      <w:r>
        <w:t xml:space="preserve"> </w:t>
      </w:r>
      <w:r>
        <w:t>Do you have any comments on the legal text?</w:t>
      </w:r>
    </w:p>
    <w:p w14:paraId="6FB4E436" w14:textId="06AE91E1" w:rsidR="00041FB6" w:rsidRDefault="00041FB6" w:rsidP="00041FB6">
      <w:pPr>
        <w:numPr>
          <w:ilvl w:val="1"/>
          <w:numId w:val="2"/>
        </w:numPr>
        <w:tabs>
          <w:tab w:val="num" w:pos="567"/>
        </w:tabs>
        <w:spacing w:line="360" w:lineRule="auto"/>
        <w:jc w:val="both"/>
      </w:pPr>
      <w:r>
        <w:t xml:space="preserve">The Working Group reviewed the responses to question 9, which asked whether respondents had any comments on the proposed legal text. Members noted that two respondents supported the legal drafting as provided with the consultation and two others reiterated feedback they had provided in response to question 2 which covered: </w:t>
      </w:r>
    </w:p>
    <w:p w14:paraId="09A3E920" w14:textId="724B4070" w:rsidR="00041FB6" w:rsidRDefault="00041FB6" w:rsidP="00041FB6">
      <w:pPr>
        <w:pStyle w:val="ListParagraph"/>
        <w:numPr>
          <w:ilvl w:val="0"/>
          <w:numId w:val="10"/>
        </w:numPr>
        <w:spacing w:line="360" w:lineRule="auto"/>
      </w:pPr>
      <w:r>
        <w:t>A request for additional guidance to be developed to supplement the legal text and provide DNOs with clearer, step-by-step direction where the issue is caused by a reduction in allowed revenue as the text doesn’t provide the level of granular instruction on how this is to be completed in practice.</w:t>
      </w:r>
    </w:p>
    <w:p w14:paraId="70332DB0" w14:textId="009739DE" w:rsidR="00041FB6" w:rsidRDefault="00041FB6" w:rsidP="00041FB6">
      <w:pPr>
        <w:pStyle w:val="ListParagraph"/>
        <w:numPr>
          <w:ilvl w:val="0"/>
          <w:numId w:val="10"/>
        </w:numPr>
        <w:spacing w:line="360" w:lineRule="auto"/>
      </w:pPr>
      <w:r>
        <w:t>A request that the legal text include clearer wording regarding the circumstances when each option should be used.</w:t>
      </w:r>
    </w:p>
    <w:p w14:paraId="0E4EE94A" w14:textId="7264510C" w:rsidR="00FC0EFC" w:rsidRDefault="00041FB6" w:rsidP="00364EE9">
      <w:pPr>
        <w:numPr>
          <w:ilvl w:val="1"/>
          <w:numId w:val="2"/>
        </w:numPr>
        <w:tabs>
          <w:tab w:val="num" w:pos="567"/>
        </w:tabs>
        <w:spacing w:line="360" w:lineRule="auto"/>
        <w:jc w:val="both"/>
      </w:pPr>
      <w:r>
        <w:t>One respondent highlighted that the legal text appears to include the addition of a new paragraph 5.4 in Annex 1, but that that there is an existing paragraph 5.4. in Annex 1 and asked if the proposed text is supposed to read as a replacement of the existing text in that paragraph, or an addition to those existing paragraphs under the same heading. The Working Group confirmed that the text should be read as an additional paragraph being included, and not a replacement, and noted that its placement needs to be reviewed and that either an update needs to be made to the paragraph number or its placement changed with the legal text as necessary.</w:t>
      </w:r>
    </w:p>
    <w:p w14:paraId="3060B732" w14:textId="61131A08" w:rsidR="00FC0EFC" w:rsidRDefault="00FC0EFC" w:rsidP="00FC0EFC">
      <w:pPr>
        <w:pStyle w:val="Heading1"/>
      </w:pPr>
      <w:bookmarkStart w:id="6" w:name="_Toc235084438"/>
      <w:r>
        <w:t>Working Group Conclusions &amp; Final Solution</w:t>
      </w:r>
      <w:bookmarkEnd w:id="6"/>
    </w:p>
    <w:p w14:paraId="3B99F9E1" w14:textId="77777777" w:rsidR="005B77B1" w:rsidRPr="002750C8" w:rsidRDefault="005B77B1" w:rsidP="002750C8">
      <w:pPr>
        <w:numPr>
          <w:ilvl w:val="1"/>
          <w:numId w:val="2"/>
        </w:numPr>
        <w:tabs>
          <w:tab w:val="num" w:pos="567"/>
        </w:tabs>
        <w:spacing w:line="360" w:lineRule="auto"/>
        <w:jc w:val="both"/>
      </w:pPr>
      <w:r>
        <w:t xml:space="preserve">Following its review of the five consultation responses, the Working Group noted unanimous support for adding the three solutions previously approved through derogations to the DCUSA. Respondents considered that the proposal covered the known circumstances requiring intervention, was founded on approaches already reviewed and approved by Ofgem, would increase certainty over tariff publication </w:t>
      </w:r>
      <w:r>
        <w:lastRenderedPageBreak/>
        <w:t>and would avoid repeated derogation requests and the consequential delays for DNOs, IDNOs and Suppliers. The Working Group also noted the consistent view that these arrangements should remain an interim measure pending a more robust and enduring solution through the DUoS SCR or another appropriate initiative.</w:t>
      </w:r>
    </w:p>
    <w:p w14:paraId="3C94756F" w14:textId="4CD6FBB1" w:rsidR="00A2012C" w:rsidRPr="002750C8" w:rsidRDefault="00A2012C" w:rsidP="002750C8">
      <w:pPr>
        <w:numPr>
          <w:ilvl w:val="1"/>
          <w:numId w:val="2"/>
        </w:numPr>
        <w:tabs>
          <w:tab w:val="num" w:pos="567"/>
        </w:tabs>
        <w:spacing w:line="360" w:lineRule="auto"/>
        <w:jc w:val="both"/>
      </w:pPr>
      <w:r w:rsidRPr="002750C8">
        <w:t xml:space="preserve">The Working Group agreed to address </w:t>
      </w:r>
      <w:r w:rsidR="00133159" w:rsidRPr="002750C8">
        <w:t>four</w:t>
      </w:r>
      <w:r w:rsidRPr="002750C8">
        <w:t xml:space="preserve"> particular points raised by respondents</w:t>
      </w:r>
      <w:r w:rsidR="00C5477C" w:rsidRPr="002750C8">
        <w:t xml:space="preserve"> and t</w:t>
      </w:r>
      <w:r w:rsidRPr="002750C8">
        <w:t>hese were as follows:</w:t>
      </w:r>
    </w:p>
    <w:p w14:paraId="76B577E5" w14:textId="2363969D" w:rsidR="005B77B1" w:rsidRPr="00C5477C" w:rsidRDefault="005B77B1" w:rsidP="00C5477C">
      <w:pPr>
        <w:pStyle w:val="ListParagraph"/>
        <w:numPr>
          <w:ilvl w:val="0"/>
          <w:numId w:val="10"/>
        </w:numPr>
        <w:spacing w:line="360" w:lineRule="auto"/>
      </w:pPr>
      <w:bookmarkStart w:id="7" w:name="_Toc235084439"/>
      <w:r w:rsidRPr="00C5477C">
        <w:t>Whether supplementary step-by-step guidance should be developed for applying the intervention where the principal cause is a reduction in allowed revenue, and whether that guidance should sit within the legal text, an appendix or a separate supporting document.</w:t>
      </w:r>
    </w:p>
    <w:p w14:paraId="2AC5855A" w14:textId="1DCF700C" w:rsidR="005B77B1" w:rsidRPr="00C5477C" w:rsidRDefault="005B77B1" w:rsidP="00C5477C">
      <w:pPr>
        <w:pStyle w:val="ListParagraph"/>
        <w:numPr>
          <w:ilvl w:val="0"/>
          <w:numId w:val="10"/>
        </w:numPr>
        <w:spacing w:line="360" w:lineRule="auto"/>
      </w:pPr>
      <w:r w:rsidRPr="00C5477C">
        <w:t>Whether there should be a hierarchy between the available interventions and the extent to which a DNO should continue to use the approach previously approved for it by Ofgem</w:t>
      </w:r>
      <w:r w:rsidR="0076290C">
        <w:t xml:space="preserve"> and how to incorporate this into the legal text</w:t>
      </w:r>
      <w:r w:rsidRPr="00C5477C">
        <w:t>.</w:t>
      </w:r>
    </w:p>
    <w:p w14:paraId="0C16408C" w14:textId="41D9BC97" w:rsidR="005B77B1" w:rsidRPr="00C5477C" w:rsidRDefault="005B77B1" w:rsidP="00C5477C">
      <w:pPr>
        <w:pStyle w:val="ListParagraph"/>
        <w:numPr>
          <w:ilvl w:val="0"/>
          <w:numId w:val="10"/>
        </w:numPr>
        <w:spacing w:line="360" w:lineRule="auto"/>
      </w:pPr>
      <w:r w:rsidRPr="00C5477C">
        <w:t>The placement and numbering of the proposed additional paragraph in Annex 1, given the existing paragraph 5.4</w:t>
      </w:r>
      <w:r w:rsidR="002750C8">
        <w:t xml:space="preserve"> (see below and Section 10)</w:t>
      </w:r>
      <w:r w:rsidRPr="00C5477C">
        <w:t>.</w:t>
      </w:r>
    </w:p>
    <w:p w14:paraId="4CB6EC63" w14:textId="0B48DA6D" w:rsidR="005B77B1" w:rsidRPr="00C5477C" w:rsidRDefault="005B77B1" w:rsidP="00C5477C">
      <w:pPr>
        <w:pStyle w:val="ListParagraph"/>
        <w:numPr>
          <w:ilvl w:val="0"/>
          <w:numId w:val="10"/>
        </w:numPr>
        <w:spacing w:line="360" w:lineRule="auto"/>
      </w:pPr>
      <w:r w:rsidRPr="00C5477C">
        <w:t>The short-term consumer benefits of improved tariff stability and certainty, alongside the potential for volatility when a longer-term solution is introduced</w:t>
      </w:r>
      <w:r w:rsidR="00133159">
        <w:t xml:space="preserve"> (see Section 8 below)</w:t>
      </w:r>
      <w:r w:rsidRPr="00C5477C">
        <w:t>.</w:t>
      </w:r>
    </w:p>
    <w:p w14:paraId="6D462294" w14:textId="279FAB8E" w:rsidR="005B77B1" w:rsidRPr="00727B24" w:rsidRDefault="004B5850">
      <w:pPr>
        <w:rPr>
          <w:b/>
          <w:bCs/>
          <w:color w:val="008576"/>
        </w:rPr>
      </w:pPr>
      <w:r w:rsidRPr="00727B24">
        <w:rPr>
          <w:b/>
          <w:bCs/>
          <w:color w:val="008576"/>
        </w:rPr>
        <w:t xml:space="preserve">Suggestion to develop </w:t>
      </w:r>
      <w:r w:rsidRPr="00727B24">
        <w:rPr>
          <w:b/>
          <w:bCs/>
          <w:color w:val="008576"/>
        </w:rPr>
        <w:t>supplementary step-by-step guidance</w:t>
      </w:r>
    </w:p>
    <w:p w14:paraId="498357BF" w14:textId="77777777" w:rsidR="00CB1232" w:rsidRDefault="00CB1232" w:rsidP="002750C8">
      <w:pPr>
        <w:numPr>
          <w:ilvl w:val="1"/>
          <w:numId w:val="2"/>
        </w:numPr>
        <w:tabs>
          <w:tab w:val="num" w:pos="567"/>
        </w:tabs>
        <w:spacing w:line="360" w:lineRule="auto"/>
        <w:jc w:val="both"/>
      </w:pPr>
      <w:r w:rsidRPr="00CB1232">
        <w:t>With respect to the request for additional guidance to be developed to supplement the legal text, the Working Group noted that text to this effect should be in circulation as this information was shared in documents exchanged between DNOs and Ofgem. It was agreed that this would be a good way of achieving the desired outcome and that it need not form part of the legal text but could be a document shared between the impacted DNOs. It was suggested that in any case, the guidance could be developed concurrently and should not delay the Change Report.</w:t>
      </w:r>
    </w:p>
    <w:p w14:paraId="07CC5309" w14:textId="25CDB29F" w:rsidR="005964DC" w:rsidRDefault="005964DC" w:rsidP="00727B24">
      <w:pPr>
        <w:rPr>
          <w:b/>
          <w:bCs/>
          <w:color w:val="008576"/>
        </w:rPr>
      </w:pPr>
      <w:r>
        <w:rPr>
          <w:b/>
          <w:bCs/>
          <w:color w:val="008576"/>
        </w:rPr>
        <w:t xml:space="preserve">Applying </w:t>
      </w:r>
      <w:r w:rsidRPr="005964DC">
        <w:rPr>
          <w:b/>
          <w:bCs/>
          <w:color w:val="008576"/>
        </w:rPr>
        <w:t>a hierarchy between the available interventions</w:t>
      </w:r>
      <w:r w:rsidR="005D6B35">
        <w:rPr>
          <w:b/>
          <w:bCs/>
          <w:color w:val="008576"/>
        </w:rPr>
        <w:t xml:space="preserve"> and the approach to use </w:t>
      </w:r>
      <w:r w:rsidR="00F32ECD">
        <w:rPr>
          <w:b/>
          <w:bCs/>
          <w:color w:val="008576"/>
        </w:rPr>
        <w:t xml:space="preserve">where an option has been used </w:t>
      </w:r>
      <w:r w:rsidR="005D6B35" w:rsidRPr="005D6B35">
        <w:rPr>
          <w:b/>
          <w:bCs/>
          <w:color w:val="008576"/>
        </w:rPr>
        <w:t>previously</w:t>
      </w:r>
    </w:p>
    <w:p w14:paraId="5D1B07F3" w14:textId="26D4796D" w:rsidR="004D45F1" w:rsidRPr="00041FB6" w:rsidRDefault="00757A64" w:rsidP="004D45F1">
      <w:pPr>
        <w:numPr>
          <w:ilvl w:val="1"/>
          <w:numId w:val="2"/>
        </w:numPr>
        <w:tabs>
          <w:tab w:val="num" w:pos="567"/>
        </w:tabs>
        <w:spacing w:line="360" w:lineRule="auto"/>
        <w:jc w:val="both"/>
      </w:pPr>
      <w:r>
        <w:t>As set out in paragraph</w:t>
      </w:r>
      <w:r w:rsidR="00027E1C">
        <w:t xml:space="preserve">s </w:t>
      </w:r>
      <w:r w:rsidR="004D45F1">
        <w:t>xx.xx above,</w:t>
      </w:r>
      <w:r>
        <w:t xml:space="preserve"> </w:t>
      </w:r>
      <w:r w:rsidR="004D45F1">
        <w:t>feedbac</w:t>
      </w:r>
      <w:r w:rsidR="00CC40F6">
        <w:t>k</w:t>
      </w:r>
      <w:r w:rsidR="004D45F1">
        <w:t xml:space="preserve"> was received and </w:t>
      </w:r>
      <w:r w:rsidR="004D45F1" w:rsidRPr="00D575F0">
        <w:t>discussed</w:t>
      </w:r>
      <w:r w:rsidR="004D45F1">
        <w:t xml:space="preserve"> by the</w:t>
      </w:r>
      <w:r w:rsidR="004D45F1" w:rsidRPr="00D575F0">
        <w:t xml:space="preserve"> </w:t>
      </w:r>
      <w:r w:rsidR="004D45F1">
        <w:t xml:space="preserve">Working Group as to </w:t>
      </w:r>
      <w:r w:rsidR="004D45F1" w:rsidRPr="00D575F0">
        <w:t>whether a hierarchy should apply between the available options, taking account of previous practice, consistency of approach and the technical challenges associated with forecasting new customers and operating the EDCM model.</w:t>
      </w:r>
    </w:p>
    <w:p w14:paraId="153E85E2" w14:textId="4DA9C5BA" w:rsidR="004D45F1" w:rsidRDefault="004D45F1" w:rsidP="004D45F1">
      <w:pPr>
        <w:numPr>
          <w:ilvl w:val="1"/>
          <w:numId w:val="2"/>
        </w:numPr>
        <w:tabs>
          <w:tab w:val="num" w:pos="567"/>
        </w:tabs>
        <w:spacing w:line="360" w:lineRule="auto"/>
        <w:jc w:val="both"/>
      </w:pPr>
      <w:r w:rsidRPr="003308A1">
        <w:t>The Working Group agreed that the legal text should be amended to clarify the circumstances in which each option may be used which is captured within documents previously issued by Ofgem on this topic, including where the model fails to run entirely, and to reinforce consistency with previously applied approaches.</w:t>
      </w:r>
      <w:r w:rsidR="00B911EF">
        <w:t xml:space="preserve"> </w:t>
      </w:r>
    </w:p>
    <w:p w14:paraId="52CC50C7" w14:textId="2C23B4EB" w:rsidR="00B911EF" w:rsidRDefault="00B911EF" w:rsidP="004D45F1">
      <w:pPr>
        <w:numPr>
          <w:ilvl w:val="1"/>
          <w:numId w:val="2"/>
        </w:numPr>
        <w:tabs>
          <w:tab w:val="num" w:pos="567"/>
        </w:tabs>
        <w:spacing w:line="360" w:lineRule="auto"/>
        <w:jc w:val="both"/>
      </w:pPr>
      <w:r>
        <w:t xml:space="preserve">The Working Group amended the text as described </w:t>
      </w:r>
      <w:r w:rsidR="008B54AB">
        <w:t xml:space="preserve">further in Section 10 below. </w:t>
      </w:r>
    </w:p>
    <w:p w14:paraId="1874DC9F" w14:textId="3BB5575F" w:rsidR="009D4485" w:rsidRPr="00FF16D7" w:rsidRDefault="009D4485" w:rsidP="00FF16D7">
      <w:pPr>
        <w:rPr>
          <w:b/>
          <w:bCs/>
          <w:color w:val="008576"/>
        </w:rPr>
      </w:pPr>
      <w:r w:rsidRPr="00FF16D7">
        <w:rPr>
          <w:b/>
          <w:bCs/>
          <w:color w:val="008576"/>
        </w:rPr>
        <w:t>The placement and numbering of the proposed additional paragraph in Annex 1, given the existing paragraph 5.4.</w:t>
      </w:r>
    </w:p>
    <w:p w14:paraId="1344E021" w14:textId="77777777" w:rsidR="003C4FAD" w:rsidRDefault="006416A3" w:rsidP="003C4FAD">
      <w:pPr>
        <w:numPr>
          <w:ilvl w:val="1"/>
          <w:numId w:val="2"/>
        </w:numPr>
        <w:tabs>
          <w:tab w:val="num" w:pos="567"/>
        </w:tabs>
        <w:spacing w:line="360" w:lineRule="auto"/>
        <w:jc w:val="both"/>
      </w:pPr>
      <w:r>
        <w:lastRenderedPageBreak/>
        <w:t xml:space="preserve">As noted </w:t>
      </w:r>
      <w:r w:rsidR="003C4FAD">
        <w:t xml:space="preserve">in Paragraph </w:t>
      </w:r>
      <w:r w:rsidRPr="006416A3">
        <w:t>5.22</w:t>
      </w:r>
      <w:r w:rsidR="003C4FAD">
        <w:t xml:space="preserve"> above, a</w:t>
      </w:r>
      <w:r w:rsidRPr="006416A3">
        <w:t xml:space="preserve"> respondent highlighted that the legal text appears to include the addition of a new paragraph 5.4 in Annex 1, but that that there is an existing paragraph 5.4. in Annex 1 and asked if the proposed text is supposed to read as a replacement of the existing text in that paragraph, or an addition to those existing paragraphs under the same heading. The Working Group confirmed that the text should be read as an additional paragraph being included, and not a replacement, and noted that its placement needs to be reviewed and that either an update needs to be made to the paragraph number or its placement changed with the legal text as necessary.</w:t>
      </w:r>
    </w:p>
    <w:p w14:paraId="2C031AAD" w14:textId="0C0DF7DA" w:rsidR="003C4FAD" w:rsidRDefault="003C4FAD" w:rsidP="00E141C7">
      <w:pPr>
        <w:numPr>
          <w:ilvl w:val="1"/>
          <w:numId w:val="2"/>
        </w:numPr>
        <w:tabs>
          <w:tab w:val="num" w:pos="567"/>
        </w:tabs>
        <w:spacing w:line="360" w:lineRule="auto"/>
        <w:jc w:val="both"/>
      </w:pPr>
      <w:r>
        <w:t xml:space="preserve">The Working Group agreed to insert the </w:t>
      </w:r>
      <w:r w:rsidR="00E141C7">
        <w:t xml:space="preserve">additional paragraph into section 5 of Annex 1 to Schedule 17 as </w:t>
      </w:r>
      <w:commentRangeStart w:id="8"/>
      <w:r w:rsidR="00E141C7">
        <w:t>[placeholder</w:t>
      </w:r>
      <w:commentRangeEnd w:id="8"/>
      <w:r w:rsidR="00E141C7">
        <w:rPr>
          <w:rStyle w:val="CommentReference"/>
          <w:sz w:val="20"/>
          <w:szCs w:val="22"/>
        </w:rPr>
        <w:commentReference w:id="8"/>
      </w:r>
      <w:r w:rsidR="00E141C7">
        <w:t>].</w:t>
      </w:r>
    </w:p>
    <w:p w14:paraId="36708004" w14:textId="3B1ECC9E" w:rsidR="00BF295F" w:rsidRDefault="00DB6CD1" w:rsidP="00BF295F">
      <w:pPr>
        <w:pStyle w:val="Heading1"/>
      </w:pPr>
      <w:r>
        <w:t>Relevant Objectives</w:t>
      </w:r>
      <w:bookmarkEnd w:id="7"/>
    </w:p>
    <w:p w14:paraId="078EB2D2" w14:textId="5DABEC3B" w:rsidR="00BF295F" w:rsidRPr="006B66A3" w:rsidRDefault="001D16A8" w:rsidP="006B66A3">
      <w:pPr>
        <w:rPr>
          <w:b/>
          <w:bCs/>
          <w:color w:val="008576"/>
        </w:rPr>
      </w:pPr>
      <w:r w:rsidRPr="001D16A8">
        <w:rPr>
          <w:b/>
          <w:bCs/>
          <w:color w:val="008576"/>
        </w:rPr>
        <w:t xml:space="preserve">Assessment Against the DCUSA Objectives </w:t>
      </w:r>
    </w:p>
    <w:p w14:paraId="3A68D1B8" w14:textId="6D398B7A" w:rsidR="006B66A3" w:rsidRDefault="00FE1961" w:rsidP="00E141C7">
      <w:pPr>
        <w:numPr>
          <w:ilvl w:val="1"/>
          <w:numId w:val="2"/>
        </w:numPr>
        <w:tabs>
          <w:tab w:val="num" w:pos="567"/>
        </w:tabs>
        <w:spacing w:line="360" w:lineRule="auto"/>
        <w:jc w:val="both"/>
      </w:pPr>
      <w:r w:rsidRPr="00FE1961">
        <w:t>For a DCUSA CP to be approved it must be demonstrated that it better facilitates the DCUSA Objectives. This CP is being assessed against the DCUSA Charging Objectives</w:t>
      </w:r>
      <w:r w:rsidR="006B66A3">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79"/>
        <w:gridCol w:w="7711"/>
        <w:gridCol w:w="1218"/>
      </w:tblGrid>
      <w:tr w:rsidR="00293EDB" w:rsidRPr="00672D79" w14:paraId="5177F1FB" w14:textId="77777777" w:rsidTr="003E03CB">
        <w:trPr>
          <w:cantSplit/>
          <w:trHeight w:val="397"/>
        </w:trPr>
        <w:tc>
          <w:tcPr>
            <w:tcW w:w="353" w:type="pct"/>
          </w:tcPr>
          <w:p w14:paraId="67840D00" w14:textId="77777777" w:rsidR="00293EDB" w:rsidRPr="00672D79" w:rsidRDefault="00293EDB" w:rsidP="003E03CB">
            <w:pPr>
              <w:spacing w:before="40" w:after="120" w:line="300" w:lineRule="atLeast"/>
              <w:ind w:right="238"/>
              <w:rPr>
                <w:rFonts w:eastAsia="Times New Roman" w:cs="Arial"/>
                <w:b/>
                <w:color w:val="008576"/>
                <w:kern w:val="0"/>
                <w:sz w:val="24"/>
                <w:szCs w:val="24"/>
                <w:lang w:eastAsia="en-GB"/>
                <w14:ligatures w14:val="none"/>
              </w:rPr>
            </w:pPr>
          </w:p>
        </w:tc>
        <w:tc>
          <w:tcPr>
            <w:tcW w:w="4013" w:type="pct"/>
            <w:vAlign w:val="center"/>
          </w:tcPr>
          <w:p w14:paraId="4FF3B6F4" w14:textId="77777777" w:rsidR="00293EDB" w:rsidRPr="00672D79" w:rsidRDefault="00293EDB" w:rsidP="003E03CB">
            <w:pPr>
              <w:spacing w:before="40" w:after="120" w:line="300" w:lineRule="atLeast"/>
              <w:ind w:right="238"/>
              <w:rPr>
                <w:rFonts w:eastAsia="Times New Roman" w:cs="Arial"/>
                <w:b/>
                <w:color w:val="008576"/>
                <w:kern w:val="0"/>
                <w:sz w:val="24"/>
                <w:szCs w:val="24"/>
                <w:lang w:eastAsia="en-GB"/>
                <w14:ligatures w14:val="none"/>
              </w:rPr>
            </w:pPr>
            <w:r w:rsidRPr="00672D79">
              <w:rPr>
                <w:rFonts w:eastAsia="Times New Roman" w:cs="Arial"/>
                <w:b/>
                <w:color w:val="008576"/>
                <w:kern w:val="0"/>
                <w:sz w:val="24"/>
                <w:szCs w:val="24"/>
                <w:lang w:eastAsia="en-GB"/>
                <w14:ligatures w14:val="none"/>
              </w:rPr>
              <w:t xml:space="preserve">DCUSA Charging Objectives </w:t>
            </w:r>
          </w:p>
        </w:tc>
        <w:tc>
          <w:tcPr>
            <w:tcW w:w="634" w:type="pct"/>
          </w:tcPr>
          <w:p w14:paraId="53BE9571" w14:textId="77777777" w:rsidR="00293EDB" w:rsidRPr="00672D79" w:rsidRDefault="00293EDB" w:rsidP="003E03CB">
            <w:pPr>
              <w:spacing w:before="120" w:after="120" w:line="300" w:lineRule="atLeast"/>
              <w:ind w:left="113" w:right="113"/>
              <w:rPr>
                <w:rFonts w:eastAsia="Times New Roman" w:cs="Times New Roman"/>
                <w:b/>
                <w:kern w:val="0"/>
                <w:szCs w:val="24"/>
                <w:lang w:eastAsia="en-GB"/>
                <w14:ligatures w14:val="none"/>
              </w:rPr>
            </w:pPr>
            <w:r w:rsidRPr="00672D79">
              <w:rPr>
                <w:rFonts w:eastAsia="Times New Roman" w:cs="Times New Roman"/>
                <w:b/>
                <w:kern w:val="0"/>
                <w:szCs w:val="24"/>
                <w:lang w:eastAsia="en-GB"/>
                <w14:ligatures w14:val="none"/>
              </w:rPr>
              <w:t>Identified impact</w:t>
            </w:r>
          </w:p>
        </w:tc>
      </w:tr>
      <w:tr w:rsidR="00293EDB" w:rsidRPr="00672D79" w14:paraId="42F6F331" w14:textId="77777777" w:rsidTr="003E03CB">
        <w:trPr>
          <w:cantSplit/>
          <w:trHeight w:val="397"/>
        </w:trPr>
        <w:tc>
          <w:tcPr>
            <w:tcW w:w="353" w:type="pct"/>
          </w:tcPr>
          <w:p w14:paraId="018B1389" w14:textId="77777777" w:rsidR="00293EDB" w:rsidRPr="00672D79" w:rsidRDefault="008D27A3" w:rsidP="003E03CB">
            <w:pPr>
              <w:spacing w:after="120" w:line="300" w:lineRule="atLeast"/>
              <w:jc w:val="center"/>
              <w:rPr>
                <w:rFonts w:ascii="Arial Black" w:eastAsia="Times New Roman" w:hAnsi="Arial Black" w:cs="Arial"/>
                <w:b/>
                <w:bCs/>
                <w:noProof/>
                <w:color w:val="00B050"/>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978911087"/>
                <w14:checkbox>
                  <w14:checked w14:val="1"/>
                  <w14:checkedState w14:val="0052" w14:font="Wingdings 2"/>
                  <w14:uncheckedState w14:val="2610" w14:font="MS Gothic"/>
                </w14:checkbox>
              </w:sdtPr>
              <w:sdtEndPr/>
              <w:sdtContent>
                <w:r w:rsidR="00293EDB">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4F793115" w14:textId="77777777" w:rsidR="00293EDB" w:rsidRPr="00672D79" w:rsidRDefault="00293EDB" w:rsidP="00293EDB">
            <w:pPr>
              <w:numPr>
                <w:ilvl w:val="0"/>
                <w:numId w:val="4"/>
              </w:numPr>
              <w:spacing w:before="120" w:after="120" w:line="300" w:lineRule="atLeast"/>
              <w:ind w:left="288" w:hanging="284"/>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facilitates the discharge by the DNO Party of the obligations imposed on it under the Act and by its Distribution Licence</w:t>
            </w:r>
          </w:p>
        </w:tc>
        <w:tc>
          <w:tcPr>
            <w:tcW w:w="634" w:type="pct"/>
          </w:tcPr>
          <w:p w14:paraId="775CC2F3" w14:textId="77777777" w:rsidR="00293EDB" w:rsidRDefault="00293EDB" w:rsidP="003E03CB">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3CAFE528" w14:textId="77777777" w:rsidR="00293EDB" w:rsidRPr="00672D79" w:rsidRDefault="00293EDB" w:rsidP="003E03CB">
            <w:pPr>
              <w:spacing w:after="0" w:line="240" w:lineRule="auto"/>
              <w:ind w:left="113"/>
              <w:rPr>
                <w:rFonts w:eastAsia="Times New Roman" w:cs="Times New Roman"/>
                <w:color w:val="000000" w:themeColor="text1"/>
                <w:kern w:val="0"/>
                <w:szCs w:val="24"/>
                <w:lang w:eastAsia="en-GB"/>
                <w14:ligatures w14:val="none"/>
              </w:rPr>
            </w:pPr>
          </w:p>
        </w:tc>
      </w:tr>
      <w:tr w:rsidR="00293EDB" w:rsidRPr="00672D79" w14:paraId="0E4609A7" w14:textId="77777777" w:rsidTr="003E03CB">
        <w:trPr>
          <w:cantSplit/>
          <w:trHeight w:val="397"/>
        </w:trPr>
        <w:tc>
          <w:tcPr>
            <w:tcW w:w="353" w:type="pct"/>
          </w:tcPr>
          <w:p w14:paraId="16DC7978" w14:textId="77777777" w:rsidR="00293EDB" w:rsidRPr="00672D79" w:rsidRDefault="008D27A3" w:rsidP="003E03CB">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35739508"/>
                <w14:checkbox>
                  <w14:checked w14:val="1"/>
                  <w14:checkedState w14:val="0052" w14:font="Wingdings 2"/>
                  <w14:uncheckedState w14:val="2610" w14:font="MS Gothic"/>
                </w14:checkbox>
              </w:sdtPr>
              <w:sdtEndPr/>
              <w:sdtContent>
                <w:r w:rsidR="00293EDB">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232C9BD4" w14:textId="77777777" w:rsidR="00293EDB" w:rsidRPr="00672D79" w:rsidRDefault="00293EDB" w:rsidP="00293EDB">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34" w:type="pct"/>
          </w:tcPr>
          <w:p w14:paraId="0162E671" w14:textId="77777777" w:rsidR="00293EDB" w:rsidRDefault="00293EDB" w:rsidP="003E03CB">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4A2F2909" w14:textId="77777777" w:rsidR="00293EDB" w:rsidRPr="00672D79" w:rsidRDefault="00293EDB" w:rsidP="003E03CB">
            <w:pPr>
              <w:spacing w:after="0" w:line="240" w:lineRule="auto"/>
              <w:ind w:left="113"/>
              <w:rPr>
                <w:rFonts w:eastAsia="Times New Roman" w:cs="Times New Roman"/>
                <w:color w:val="000000" w:themeColor="text1"/>
                <w:kern w:val="0"/>
                <w:szCs w:val="24"/>
                <w:lang w:eastAsia="en-GB"/>
                <w14:ligatures w14:val="none"/>
              </w:rPr>
            </w:pPr>
          </w:p>
        </w:tc>
      </w:tr>
      <w:tr w:rsidR="00293EDB" w:rsidRPr="00672D79" w14:paraId="6E051D83" w14:textId="77777777" w:rsidTr="003E03CB">
        <w:trPr>
          <w:cantSplit/>
          <w:trHeight w:val="397"/>
        </w:trPr>
        <w:tc>
          <w:tcPr>
            <w:tcW w:w="353" w:type="pct"/>
          </w:tcPr>
          <w:p w14:paraId="2FED0045" w14:textId="77777777" w:rsidR="00293EDB" w:rsidRPr="00672D79" w:rsidRDefault="008D27A3" w:rsidP="003E03CB">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966082827"/>
                <w14:checkbox>
                  <w14:checked w14:val="1"/>
                  <w14:checkedState w14:val="0052" w14:font="Wingdings 2"/>
                  <w14:uncheckedState w14:val="2610" w14:font="MS Gothic"/>
                </w14:checkbox>
              </w:sdtPr>
              <w:sdtEndPr/>
              <w:sdtContent>
                <w:r w:rsidR="00293EDB">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32301E2D" w14:textId="77777777" w:rsidR="00293EDB" w:rsidRPr="00672D79" w:rsidRDefault="00293EDB" w:rsidP="00293EDB">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34" w:type="pct"/>
          </w:tcPr>
          <w:p w14:paraId="7B026648" w14:textId="77777777" w:rsidR="00293EDB" w:rsidRDefault="00293EDB" w:rsidP="003E03CB">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261AD25E" w14:textId="77777777" w:rsidR="00293EDB" w:rsidRPr="00672D79" w:rsidRDefault="00293EDB" w:rsidP="003E03CB">
            <w:pPr>
              <w:spacing w:after="0" w:line="240" w:lineRule="auto"/>
              <w:ind w:left="113"/>
              <w:rPr>
                <w:rFonts w:eastAsia="Times New Roman" w:cs="Times New Roman"/>
                <w:color w:val="000000" w:themeColor="text1"/>
                <w:kern w:val="0"/>
                <w:szCs w:val="24"/>
                <w:lang w:eastAsia="en-GB"/>
                <w14:ligatures w14:val="none"/>
              </w:rPr>
            </w:pPr>
          </w:p>
        </w:tc>
      </w:tr>
      <w:tr w:rsidR="00293EDB" w:rsidRPr="00672D79" w14:paraId="448BC02F" w14:textId="77777777" w:rsidTr="003E03CB">
        <w:trPr>
          <w:cantSplit/>
          <w:trHeight w:val="397"/>
        </w:trPr>
        <w:tc>
          <w:tcPr>
            <w:tcW w:w="353" w:type="pct"/>
          </w:tcPr>
          <w:p w14:paraId="554A21BA" w14:textId="77777777" w:rsidR="00293EDB" w:rsidRPr="00672D79" w:rsidRDefault="008D27A3" w:rsidP="003E03CB">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18763772"/>
                <w14:checkbox>
                  <w14:checked w14:val="0"/>
                  <w14:checkedState w14:val="0052" w14:font="Wingdings 2"/>
                  <w14:uncheckedState w14:val="2610" w14:font="MS Gothic"/>
                </w14:checkbox>
              </w:sdtPr>
              <w:sdtEndPr/>
              <w:sdtContent>
                <w:r w:rsidR="00293EDB">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17FCAF38" w14:textId="77777777" w:rsidR="00293EDB" w:rsidRPr="00672D79" w:rsidRDefault="00293EDB" w:rsidP="00293EDB">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so far as is consistent with Clauses 3.2.1 to 3.2.3, the Charging Methodologies, so far as is reasonably practicable, properly take account of developments in each DNO Party’s Distribution Business</w:t>
            </w:r>
          </w:p>
        </w:tc>
        <w:tc>
          <w:tcPr>
            <w:tcW w:w="634" w:type="pct"/>
          </w:tcPr>
          <w:p w14:paraId="53DAB83B" w14:textId="77777777" w:rsidR="00293EDB" w:rsidRDefault="00293EDB" w:rsidP="003E03CB">
            <w:pPr>
              <w:spacing w:after="0" w:line="240" w:lineRule="auto"/>
              <w:ind w:left="113"/>
              <w:rPr>
                <w:rFonts w:eastAsia="Times New Roman" w:cs="Times New Roman"/>
                <w:color w:val="4472C4" w:themeColor="accent1"/>
                <w:kern w:val="0"/>
                <w:szCs w:val="24"/>
                <w:lang w:eastAsia="en-GB"/>
                <w14:ligatures w14:val="none"/>
              </w:rPr>
            </w:pPr>
            <w:r w:rsidRPr="004F2CBF">
              <w:rPr>
                <w:rFonts w:eastAsia="Times New Roman" w:cs="Times New Roman"/>
                <w:color w:val="4472C4" w:themeColor="accent1"/>
                <w:kern w:val="0"/>
                <w:szCs w:val="24"/>
                <w:lang w:eastAsia="en-GB"/>
                <w14:ligatures w14:val="none"/>
              </w:rPr>
              <w:t>Neutral</w:t>
            </w:r>
          </w:p>
          <w:p w14:paraId="08DA94D1" w14:textId="77777777" w:rsidR="00293EDB" w:rsidRPr="00672D79" w:rsidRDefault="00293EDB" w:rsidP="003E03CB">
            <w:pPr>
              <w:spacing w:after="0" w:line="240" w:lineRule="auto"/>
              <w:ind w:left="113"/>
              <w:rPr>
                <w:rFonts w:eastAsia="Times New Roman" w:cs="Times New Roman"/>
                <w:color w:val="000000" w:themeColor="text1"/>
                <w:kern w:val="0"/>
                <w:szCs w:val="24"/>
                <w:lang w:eastAsia="en-GB"/>
                <w14:ligatures w14:val="none"/>
              </w:rPr>
            </w:pPr>
          </w:p>
        </w:tc>
      </w:tr>
      <w:tr w:rsidR="00293EDB" w:rsidRPr="00672D79" w14:paraId="3C8CE7DE" w14:textId="77777777" w:rsidTr="003E03CB">
        <w:trPr>
          <w:cantSplit/>
          <w:trHeight w:val="397"/>
        </w:trPr>
        <w:tc>
          <w:tcPr>
            <w:tcW w:w="353" w:type="pct"/>
          </w:tcPr>
          <w:p w14:paraId="4058B5FF" w14:textId="77777777" w:rsidR="00293EDB" w:rsidRPr="00672D79" w:rsidRDefault="008D27A3" w:rsidP="003E03CB">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116786503"/>
                <w14:checkbox>
                  <w14:checked w14:val="0"/>
                  <w14:checkedState w14:val="0052" w14:font="Wingdings 2"/>
                  <w14:uncheckedState w14:val="2610" w14:font="MS Gothic"/>
                </w14:checkbox>
              </w:sdtPr>
              <w:sdtEndPr/>
              <w:sdtContent>
                <w:r w:rsidR="00293EDB">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264AD932" w14:textId="77777777" w:rsidR="00293EDB" w:rsidRPr="00672D79" w:rsidRDefault="00293EDB" w:rsidP="00293EDB">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Times New Roman"/>
                <w:color w:val="000000"/>
                <w:kern w:val="0"/>
                <w:szCs w:val="24"/>
                <w:shd w:val="clear" w:color="auto" w:fill="FFFFFF"/>
                <w:lang w:eastAsia="en-GB"/>
                <w14:ligatures w14:val="none"/>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34" w:type="pct"/>
          </w:tcPr>
          <w:p w14:paraId="207B19AD" w14:textId="77777777" w:rsidR="00293EDB" w:rsidRDefault="00293EDB" w:rsidP="003E03CB">
            <w:pPr>
              <w:spacing w:after="0" w:line="240" w:lineRule="auto"/>
              <w:ind w:left="113"/>
              <w:rPr>
                <w:rFonts w:eastAsia="Times New Roman" w:cs="Times New Roman"/>
                <w:color w:val="4472C4" w:themeColor="accent1"/>
                <w:kern w:val="0"/>
                <w:szCs w:val="24"/>
                <w:lang w:eastAsia="en-GB"/>
                <w14:ligatures w14:val="none"/>
              </w:rPr>
            </w:pPr>
            <w:r w:rsidRPr="004F2CBF">
              <w:rPr>
                <w:rFonts w:eastAsia="Times New Roman" w:cs="Times New Roman"/>
                <w:color w:val="4472C4" w:themeColor="accent1"/>
                <w:kern w:val="0"/>
                <w:szCs w:val="24"/>
                <w:lang w:eastAsia="en-GB"/>
                <w14:ligatures w14:val="none"/>
              </w:rPr>
              <w:t>Neutral</w:t>
            </w:r>
          </w:p>
          <w:p w14:paraId="2D94B267" w14:textId="77777777" w:rsidR="00293EDB" w:rsidRPr="00672D79" w:rsidRDefault="00293EDB" w:rsidP="003E03CB">
            <w:pPr>
              <w:spacing w:after="0" w:line="240" w:lineRule="auto"/>
              <w:ind w:left="113"/>
              <w:rPr>
                <w:rFonts w:eastAsia="Times New Roman" w:cs="Times New Roman"/>
                <w:color w:val="000000" w:themeColor="text1"/>
                <w:kern w:val="0"/>
                <w:szCs w:val="24"/>
                <w:lang w:eastAsia="en-GB"/>
                <w14:ligatures w14:val="none"/>
              </w:rPr>
            </w:pPr>
          </w:p>
        </w:tc>
      </w:tr>
      <w:tr w:rsidR="00293EDB" w:rsidRPr="00672D79" w14:paraId="0AA1E755" w14:textId="77777777" w:rsidTr="003E03CB">
        <w:trPr>
          <w:cantSplit/>
          <w:trHeight w:val="397"/>
        </w:trPr>
        <w:tc>
          <w:tcPr>
            <w:tcW w:w="353" w:type="pct"/>
          </w:tcPr>
          <w:p w14:paraId="04A8104F" w14:textId="77777777" w:rsidR="00293EDB" w:rsidRPr="00672D79" w:rsidRDefault="008D27A3" w:rsidP="003E03CB">
            <w:pPr>
              <w:spacing w:after="120" w:line="300" w:lineRule="atLeast"/>
              <w:jc w:val="center"/>
              <w:rPr>
                <w:rFonts w:ascii="Arial Black" w:eastAsia="Times New Roman" w:hAnsi="Arial Black" w:cs="Arial"/>
                <w:noProof/>
                <w:kern w:val="0"/>
                <w:sz w:val="48"/>
                <w:szCs w:val="56"/>
                <w:lang w:val="en-US"/>
                <w14:ligatures w14:val="none"/>
              </w:rPr>
            </w:pPr>
            <w:sdt>
              <w:sdtPr>
                <w:rPr>
                  <w:rFonts w:ascii="Arial Black" w:eastAsia="Times New Roman" w:hAnsi="Arial Black" w:cs="Arial"/>
                  <w:b/>
                  <w:bCs/>
                  <w:noProof/>
                  <w:color w:val="00B050"/>
                  <w:kern w:val="0"/>
                  <w:sz w:val="48"/>
                  <w:szCs w:val="56"/>
                  <w:lang w:eastAsia="en-GB"/>
                  <w14:ligatures w14:val="none"/>
                </w:rPr>
                <w:id w:val="1231656038"/>
                <w14:checkbox>
                  <w14:checked w14:val="1"/>
                  <w14:checkedState w14:val="0052" w14:font="Wingdings 2"/>
                  <w14:uncheckedState w14:val="2610" w14:font="MS Gothic"/>
                </w14:checkbox>
              </w:sdtPr>
              <w:sdtEndPr/>
              <w:sdtContent>
                <w:r w:rsidR="00293EDB">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3E866650" w14:textId="77777777" w:rsidR="00293EDB" w:rsidRPr="00672D79" w:rsidRDefault="00293EDB" w:rsidP="00293EDB">
            <w:pPr>
              <w:numPr>
                <w:ilvl w:val="0"/>
                <w:numId w:val="3"/>
              </w:numPr>
              <w:spacing w:before="120" w:after="120" w:line="300" w:lineRule="atLeast"/>
              <w:ind w:left="280" w:hanging="280"/>
              <w:rPr>
                <w:rFonts w:eastAsia="Times New Roman" w:cs="Times New Roman"/>
                <w:noProof/>
                <w:kern w:val="0"/>
                <w:szCs w:val="24"/>
                <w:lang w:eastAsia="en-GB"/>
                <w14:ligatures w14:val="none"/>
              </w:rPr>
            </w:pPr>
            <w:r w:rsidRPr="00672D79">
              <w:rPr>
                <w:rFonts w:eastAsia="Times New Roman" w:cs="Arial"/>
                <w:noProof/>
                <w:kern w:val="0"/>
                <w:szCs w:val="24"/>
                <w:lang w:eastAsia="en-GB"/>
                <w14:ligatures w14:val="none"/>
              </w:rPr>
              <w:t>That compliance with the Charging Methodologies promotes efficiency in its own implementation and administration.</w:t>
            </w:r>
          </w:p>
        </w:tc>
        <w:tc>
          <w:tcPr>
            <w:tcW w:w="634" w:type="pct"/>
          </w:tcPr>
          <w:p w14:paraId="450FED12" w14:textId="77777777" w:rsidR="00293EDB" w:rsidRDefault="00293EDB" w:rsidP="003E03CB">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0F06957F" w14:textId="77777777" w:rsidR="00293EDB" w:rsidRPr="00672D79" w:rsidRDefault="00293EDB" w:rsidP="003E03CB">
            <w:pPr>
              <w:spacing w:after="0" w:line="240" w:lineRule="auto"/>
              <w:ind w:left="113"/>
              <w:rPr>
                <w:rFonts w:eastAsia="Times New Roman" w:cs="Times New Roman"/>
                <w:color w:val="000000" w:themeColor="text1"/>
                <w:kern w:val="0"/>
                <w:szCs w:val="24"/>
                <w:lang w:eastAsia="en-GB"/>
                <w14:ligatures w14:val="none"/>
              </w:rPr>
            </w:pPr>
          </w:p>
        </w:tc>
      </w:tr>
    </w:tbl>
    <w:p w14:paraId="313FBA5A" w14:textId="77777777" w:rsidR="006B66A3" w:rsidRDefault="006B66A3" w:rsidP="00E141C7">
      <w:pPr>
        <w:numPr>
          <w:ilvl w:val="1"/>
          <w:numId w:val="2"/>
        </w:numPr>
        <w:tabs>
          <w:tab w:val="num" w:pos="567"/>
        </w:tabs>
        <w:spacing w:line="360" w:lineRule="auto"/>
        <w:jc w:val="both"/>
      </w:pPr>
    </w:p>
    <w:p w14:paraId="41DEBE18" w14:textId="47DFFDD6" w:rsidR="006B66A3" w:rsidRDefault="00164734" w:rsidP="00E141C7">
      <w:pPr>
        <w:numPr>
          <w:ilvl w:val="1"/>
          <w:numId w:val="2"/>
        </w:numPr>
        <w:tabs>
          <w:tab w:val="num" w:pos="567"/>
        </w:tabs>
        <w:spacing w:line="360" w:lineRule="auto"/>
        <w:jc w:val="both"/>
      </w:pPr>
      <w:r w:rsidRPr="00164734">
        <w:t xml:space="preserve">The majority of the Working Group believes that, relative to the status quo, DCUSA Charging Objectives 1, 2, 3 and 6 are better facilitated by this change as the intervention options ensure DNOs will be able to calculate a set of EDCM tariffs in instances where the model fails to </w:t>
      </w:r>
      <w:r w:rsidR="00950AE9" w:rsidRPr="00164734">
        <w:t>run and</w:t>
      </w:r>
      <w:r w:rsidRPr="00164734">
        <w:t xml:space="preserve"> also ensures there would be no negative fixed charges which are not cost-reflective</w:t>
      </w:r>
      <w:r>
        <w:t>.</w:t>
      </w:r>
    </w:p>
    <w:p w14:paraId="1FD3FDDE" w14:textId="3967A78F" w:rsidR="00BF295F" w:rsidRDefault="00DB6CD1" w:rsidP="00F40968">
      <w:pPr>
        <w:pStyle w:val="Heading1"/>
      </w:pPr>
      <w:bookmarkStart w:id="9" w:name="_Toc235084440"/>
      <w:r w:rsidRPr="00DB6CD1">
        <w:t>Impacts &amp; Other Considerations</w:t>
      </w:r>
      <w:bookmarkEnd w:id="9"/>
    </w:p>
    <w:p w14:paraId="6FEAF163" w14:textId="77777777" w:rsidR="005321C7" w:rsidRPr="005321C7" w:rsidRDefault="005321C7" w:rsidP="005321C7">
      <w:pPr>
        <w:keepNext/>
        <w:rPr>
          <w:b/>
          <w:bCs/>
          <w:color w:val="008576"/>
        </w:rPr>
      </w:pPr>
      <w:r w:rsidRPr="005321C7">
        <w:rPr>
          <w:b/>
          <w:bCs/>
          <w:color w:val="008576"/>
        </w:rPr>
        <w:t>Impacts on any Significant Code Review (SCR) or other significant industry change projects</w:t>
      </w:r>
    </w:p>
    <w:p w14:paraId="233B4F63" w14:textId="226F8E94" w:rsidR="005321C7" w:rsidRPr="005321C7" w:rsidRDefault="005321C7" w:rsidP="00E141C7">
      <w:pPr>
        <w:numPr>
          <w:ilvl w:val="1"/>
          <w:numId w:val="2"/>
        </w:numPr>
        <w:tabs>
          <w:tab w:val="num" w:pos="567"/>
        </w:tabs>
        <w:spacing w:line="360" w:lineRule="auto"/>
        <w:jc w:val="both"/>
      </w:pPr>
      <w:r w:rsidRPr="005321C7">
        <w:t xml:space="preserve">The </w:t>
      </w:r>
      <w:r w:rsidR="00816671">
        <w:t xml:space="preserve">Working Group </w:t>
      </w:r>
      <w:r w:rsidRPr="005321C7">
        <w:t>believes that this CP has impacts on the DUoS SCR</w:t>
      </w:r>
      <w:r w:rsidR="000B5D4D">
        <w:t xml:space="preserve"> and is aligned to the S</w:t>
      </w:r>
      <w:r w:rsidR="008A719D">
        <w:t xml:space="preserve">trategic Direction </w:t>
      </w:r>
      <w:r w:rsidR="000B5D4D">
        <w:t>S</w:t>
      </w:r>
      <w:r w:rsidR="008A719D">
        <w:t>tatement</w:t>
      </w:r>
      <w:r w:rsidR="000B5D4D">
        <w:t xml:space="preserve"> in that it deals with near term improvements to the methodology</w:t>
      </w:r>
      <w:r w:rsidRPr="005321C7">
        <w:t>.</w:t>
      </w:r>
    </w:p>
    <w:p w14:paraId="35615C83" w14:textId="77777777" w:rsidR="005321C7" w:rsidRPr="005321C7" w:rsidRDefault="005321C7" w:rsidP="005321C7">
      <w:pPr>
        <w:rPr>
          <w:b/>
          <w:bCs/>
          <w:color w:val="008576"/>
        </w:rPr>
      </w:pPr>
      <w:r w:rsidRPr="005321C7">
        <w:rPr>
          <w:b/>
          <w:bCs/>
          <w:color w:val="008576"/>
        </w:rPr>
        <w:t>Impacts on other Codes</w:t>
      </w:r>
    </w:p>
    <w:p w14:paraId="7326D55E" w14:textId="4A94A487" w:rsidR="005321C7" w:rsidRPr="005321C7" w:rsidRDefault="005321C7" w:rsidP="00E141C7">
      <w:pPr>
        <w:numPr>
          <w:ilvl w:val="1"/>
          <w:numId w:val="2"/>
        </w:numPr>
        <w:tabs>
          <w:tab w:val="num" w:pos="567"/>
        </w:tabs>
        <w:spacing w:line="360" w:lineRule="auto"/>
        <w:jc w:val="both"/>
      </w:pPr>
      <w:r w:rsidRPr="005321C7">
        <w:t xml:space="preserve">The </w:t>
      </w:r>
      <w:r w:rsidR="00816671">
        <w:t>Working Group</w:t>
      </w:r>
      <w:r w:rsidRPr="005321C7">
        <w:t xml:space="preserve"> does not believe this CP impacts upon any other codes.</w:t>
      </w:r>
    </w:p>
    <w:p w14:paraId="33D477CD" w14:textId="77777777" w:rsidR="005321C7" w:rsidRPr="005E76A9" w:rsidRDefault="005321C7" w:rsidP="005E76A9">
      <w:pPr>
        <w:tabs>
          <w:tab w:val="num" w:pos="567"/>
        </w:tabs>
        <w:rPr>
          <w:b/>
          <w:bCs/>
          <w:color w:val="008576"/>
        </w:rPr>
      </w:pPr>
      <w:r w:rsidRPr="005E76A9">
        <w:rPr>
          <w:b/>
          <w:bCs/>
          <w:color w:val="008576"/>
        </w:rPr>
        <w:t xml:space="preserve">Consumer Impacts </w:t>
      </w:r>
    </w:p>
    <w:p w14:paraId="7904C8AA" w14:textId="0B4FC5A4" w:rsidR="005321C7" w:rsidRPr="005321C7" w:rsidRDefault="005321C7" w:rsidP="00E141C7">
      <w:pPr>
        <w:numPr>
          <w:ilvl w:val="1"/>
          <w:numId w:val="2"/>
        </w:numPr>
        <w:tabs>
          <w:tab w:val="num" w:pos="567"/>
        </w:tabs>
        <w:spacing w:line="360" w:lineRule="auto"/>
        <w:jc w:val="both"/>
      </w:pPr>
      <w:r w:rsidRPr="005321C7">
        <w:t xml:space="preserve">The Working Group considered whether an impact assessment should be undertaken, noting that the proposal does not introduce a new charging methodology or new intervention mechanisms. Rather, the proposal seeks to formalise, within the DCUSA, a number of solutions that have previously been reviewed and approved by the Authority through the derogation process and subsequently implemented by affected DNOs. The Working Group's initial view </w:t>
      </w:r>
      <w:r w:rsidR="00FB0A5F">
        <w:t>wa</w:t>
      </w:r>
      <w:r w:rsidRPr="005321C7">
        <w:t>s therefore that this CP primarily codifies existing arrangements rather than creating new consumer impacts.</w:t>
      </w:r>
    </w:p>
    <w:p w14:paraId="47930FC1" w14:textId="65D4DBE8" w:rsidR="005321C7" w:rsidRDefault="005321C7" w:rsidP="00E141C7">
      <w:pPr>
        <w:numPr>
          <w:ilvl w:val="1"/>
          <w:numId w:val="2"/>
        </w:numPr>
        <w:tabs>
          <w:tab w:val="num" w:pos="567"/>
        </w:tabs>
        <w:spacing w:line="360" w:lineRule="auto"/>
        <w:jc w:val="both"/>
      </w:pPr>
      <w:r w:rsidRPr="005321C7">
        <w:t>The Working Group further noted that the applicability of the proposed solutions is dependent upon specific circumstances arising within an individual DNO's EDCM model and that the most appropriate intervention is determined by the underlying driver of the excessive surplus residual revenue. As a result, the Working Group consider</w:t>
      </w:r>
      <w:r w:rsidR="00FB0A5F">
        <w:t>ed</w:t>
      </w:r>
      <w:r w:rsidRPr="005321C7">
        <w:t xml:space="preserve"> it difficult to undertake a meaningful quantitative assessment of consumer impacts that would be representative of all future applications of the proposal. The Working Group also noted that, in the absence of the solution, affected DNOs would likely continue to rely on derogation requests in similar circumstances.</w:t>
      </w:r>
    </w:p>
    <w:p w14:paraId="727FD9DA" w14:textId="6728AF9A" w:rsidR="00B418F0" w:rsidRDefault="00B418F0" w:rsidP="00E141C7">
      <w:pPr>
        <w:numPr>
          <w:ilvl w:val="1"/>
          <w:numId w:val="2"/>
        </w:numPr>
        <w:tabs>
          <w:tab w:val="num" w:pos="567"/>
        </w:tabs>
        <w:spacing w:line="360" w:lineRule="auto"/>
        <w:jc w:val="both"/>
      </w:pPr>
      <w:r>
        <w:t>T</w:t>
      </w:r>
      <w:r w:rsidRPr="00B418F0">
        <w:t xml:space="preserve">he Working Group </w:t>
      </w:r>
      <w:r>
        <w:t>sought</w:t>
      </w:r>
      <w:r w:rsidRPr="00B418F0">
        <w:t xml:space="preserve"> stakeholder views on whether there </w:t>
      </w:r>
      <w:r>
        <w:t>were</w:t>
      </w:r>
      <w:r w:rsidRPr="00B418F0">
        <w:t xml:space="preserve"> any consumer impacts, benefits or risks arising from the proposal that should be considered as part of the assessment of this change</w:t>
      </w:r>
      <w:r>
        <w:t>.</w:t>
      </w:r>
      <w:r w:rsidR="00105F2A">
        <w:t xml:space="preserve"> The views of respondents are on this topic are set out in Paragraphs 5.14 to 5.16 above.</w:t>
      </w:r>
    </w:p>
    <w:p w14:paraId="14AE6FEE" w14:textId="4B184527" w:rsidR="00B418F0" w:rsidRPr="00B418F0" w:rsidRDefault="00B418F0" w:rsidP="005321C7">
      <w:pPr>
        <w:numPr>
          <w:ilvl w:val="1"/>
          <w:numId w:val="2"/>
        </w:numPr>
        <w:rPr>
          <w:highlight w:val="yellow"/>
        </w:rPr>
      </w:pPr>
      <w:r w:rsidRPr="00B418F0">
        <w:rPr>
          <w:highlight w:val="yellow"/>
        </w:rPr>
        <w:t>[PLACEHOLDER FOR CONSUMER IMPACT VIEWS]</w:t>
      </w:r>
    </w:p>
    <w:p w14:paraId="6B3A8F62" w14:textId="03DEF099" w:rsidR="004F54A9" w:rsidRDefault="005321C7" w:rsidP="00E141C7">
      <w:pPr>
        <w:numPr>
          <w:ilvl w:val="1"/>
          <w:numId w:val="2"/>
        </w:numPr>
        <w:tabs>
          <w:tab w:val="num" w:pos="567"/>
        </w:tabs>
        <w:spacing w:line="360" w:lineRule="auto"/>
        <w:jc w:val="both"/>
      </w:pPr>
      <w:r w:rsidRPr="005321C7">
        <w:t>The Working Group's view</w:t>
      </w:r>
      <w:r w:rsidR="007441E3">
        <w:t xml:space="preserve"> continues to be </w:t>
      </w:r>
      <w:r w:rsidRPr="005321C7">
        <w:t xml:space="preserve">that a formal impact assessment is unlikely to provide additional value in assessing this CP. </w:t>
      </w:r>
    </w:p>
    <w:p w14:paraId="2CC1B62B" w14:textId="2AE34335" w:rsidR="004F54A9" w:rsidRPr="00F40968" w:rsidRDefault="00393A3C" w:rsidP="00574CF4">
      <w:pPr>
        <w:rPr>
          <w:b/>
          <w:bCs/>
          <w:color w:val="008576"/>
        </w:rPr>
      </w:pPr>
      <w:r w:rsidRPr="00F40968">
        <w:rPr>
          <w:b/>
          <w:bCs/>
          <w:color w:val="008576"/>
        </w:rPr>
        <w:t xml:space="preserve">Environmental Impacts </w:t>
      </w:r>
    </w:p>
    <w:p w14:paraId="5A7EED74" w14:textId="79497433" w:rsidR="00A74E8C" w:rsidRPr="00A74E8C" w:rsidRDefault="00A74E8C" w:rsidP="00A74E8C">
      <w:pPr>
        <w:numPr>
          <w:ilvl w:val="1"/>
          <w:numId w:val="2"/>
        </w:numPr>
        <w:tabs>
          <w:tab w:val="num" w:pos="567"/>
        </w:tabs>
        <w:spacing w:line="360" w:lineRule="auto"/>
        <w:jc w:val="both"/>
      </w:pPr>
      <w:r w:rsidRPr="00A74E8C">
        <w:lastRenderedPageBreak/>
        <w:t>In accordance with DCUSA Clause 11.14.6, the Working Group assessed whether there would be a material impact on greenhouse gas emissions if DCP 4</w:t>
      </w:r>
      <w:r>
        <w:t>77</w:t>
      </w:r>
      <w:r w:rsidRPr="00A74E8C">
        <w:t xml:space="preserve"> were implemented. The Working Group did not identify any material impact on greenhouse gas emissions from the implementation of this CP.</w:t>
      </w:r>
    </w:p>
    <w:p w14:paraId="08F50DC2" w14:textId="183CA6EB" w:rsidR="004F2CBF" w:rsidRPr="00F40968" w:rsidRDefault="00F40968" w:rsidP="00393A3C">
      <w:pPr>
        <w:rPr>
          <w:b/>
          <w:bCs/>
          <w:color w:val="008576"/>
        </w:rPr>
      </w:pPr>
      <w:r w:rsidRPr="00F40968">
        <w:rPr>
          <w:b/>
          <w:bCs/>
          <w:color w:val="008576"/>
        </w:rPr>
        <w:t>Are there any wider industry impacts?</w:t>
      </w:r>
    </w:p>
    <w:p w14:paraId="56025644" w14:textId="56E94B18" w:rsidR="00BF295F" w:rsidRDefault="00816671" w:rsidP="00E141C7">
      <w:pPr>
        <w:numPr>
          <w:ilvl w:val="1"/>
          <w:numId w:val="2"/>
        </w:numPr>
        <w:tabs>
          <w:tab w:val="num" w:pos="567"/>
        </w:tabs>
        <w:spacing w:line="360" w:lineRule="auto"/>
        <w:jc w:val="both"/>
      </w:pPr>
      <w:r w:rsidRPr="00816671">
        <w:t xml:space="preserve">The </w:t>
      </w:r>
      <w:r>
        <w:t>Working Group</w:t>
      </w:r>
      <w:r w:rsidRPr="00816671">
        <w:t xml:space="preserve"> does not believe this impacts on any wider industry developments</w:t>
      </w:r>
      <w:r>
        <w:t>.</w:t>
      </w:r>
    </w:p>
    <w:p w14:paraId="002D05CF" w14:textId="3D40C4EA" w:rsidR="00BF295F" w:rsidRDefault="00DB6CD1" w:rsidP="00BF295F">
      <w:pPr>
        <w:pStyle w:val="Heading1"/>
      </w:pPr>
      <w:bookmarkStart w:id="10" w:name="_Toc235084441"/>
      <w:r>
        <w:t>Implementation</w:t>
      </w:r>
      <w:bookmarkEnd w:id="10"/>
    </w:p>
    <w:p w14:paraId="05D05A58" w14:textId="6144D26E" w:rsidR="00BF295F" w:rsidRDefault="00145FC7" w:rsidP="00E141C7">
      <w:pPr>
        <w:numPr>
          <w:ilvl w:val="1"/>
          <w:numId w:val="2"/>
        </w:numPr>
        <w:tabs>
          <w:tab w:val="num" w:pos="567"/>
        </w:tabs>
        <w:spacing w:line="360" w:lineRule="auto"/>
        <w:jc w:val="both"/>
      </w:pPr>
      <w:r>
        <w:t xml:space="preserve">This CP is to be </w:t>
      </w:r>
      <w:r w:rsidRPr="00145FC7">
        <w:t>implement</w:t>
      </w:r>
      <w:r>
        <w:t>ed</w:t>
      </w:r>
      <w:r w:rsidRPr="00145FC7">
        <w:t xml:space="preserve"> as soon as possible in advance of 2028/29 tariff setting</w:t>
      </w:r>
      <w:r>
        <w:t xml:space="preserve">, </w:t>
      </w:r>
      <w:r w:rsidRPr="00145FC7">
        <w:t>by no later than 5 November 2026</w:t>
      </w:r>
      <w:r w:rsidR="00D5223E">
        <w:t>.</w:t>
      </w:r>
    </w:p>
    <w:p w14:paraId="6D91772E" w14:textId="2BD49167" w:rsidR="00BF295F" w:rsidRDefault="00DB6CD1" w:rsidP="00BF295F">
      <w:pPr>
        <w:pStyle w:val="Heading1"/>
      </w:pPr>
      <w:bookmarkStart w:id="11" w:name="_Toc235084442"/>
      <w:r>
        <w:t>Legal Text</w:t>
      </w:r>
      <w:bookmarkEnd w:id="11"/>
    </w:p>
    <w:p w14:paraId="33A575E6" w14:textId="0CD8DF63" w:rsidR="00014988" w:rsidRPr="00014988" w:rsidRDefault="00014988" w:rsidP="00014988">
      <w:pPr>
        <w:rPr>
          <w:b/>
          <w:bCs/>
          <w:color w:val="008576"/>
        </w:rPr>
      </w:pPr>
      <w:r w:rsidRPr="00014988">
        <w:rPr>
          <w:b/>
          <w:bCs/>
          <w:color w:val="008576"/>
        </w:rPr>
        <w:t>Legal Text Commentary</w:t>
      </w:r>
    </w:p>
    <w:p w14:paraId="481AA5A0" w14:textId="62172E93" w:rsidR="00A074EC" w:rsidRDefault="00A074EC" w:rsidP="00E141C7">
      <w:pPr>
        <w:numPr>
          <w:ilvl w:val="1"/>
          <w:numId w:val="2"/>
        </w:numPr>
        <w:tabs>
          <w:tab w:val="num" w:pos="567"/>
        </w:tabs>
        <w:spacing w:line="360" w:lineRule="auto"/>
        <w:jc w:val="both"/>
      </w:pPr>
      <w:r>
        <w:t xml:space="preserve">The Working Group developed the legal text found in Attachment </w:t>
      </w:r>
      <w:r w:rsidR="00221FDC">
        <w:t>1</w:t>
      </w:r>
      <w:r>
        <w:t>.</w:t>
      </w:r>
    </w:p>
    <w:p w14:paraId="13DFAA1E" w14:textId="22024B73" w:rsidR="00CC40F6" w:rsidRDefault="00165FCE" w:rsidP="00014988">
      <w:pPr>
        <w:numPr>
          <w:ilvl w:val="1"/>
          <w:numId w:val="2"/>
        </w:numPr>
        <w:tabs>
          <w:tab w:val="num" w:pos="567"/>
        </w:tabs>
        <w:spacing w:line="360" w:lineRule="auto"/>
        <w:jc w:val="both"/>
      </w:pPr>
      <w:r>
        <w:t>The Working Group determined through consultation that the existing “demand scaling” heading was suitable for the new paragraphs to be placed under.]</w:t>
      </w:r>
    </w:p>
    <w:p w14:paraId="4FC27017" w14:textId="1096E506" w:rsidR="00CC40F6" w:rsidRPr="00156514" w:rsidRDefault="00CC40F6" w:rsidP="00014988">
      <w:pPr>
        <w:numPr>
          <w:ilvl w:val="1"/>
          <w:numId w:val="2"/>
        </w:numPr>
        <w:tabs>
          <w:tab w:val="num" w:pos="567"/>
        </w:tabs>
        <w:spacing w:line="360" w:lineRule="auto"/>
        <w:jc w:val="both"/>
      </w:pPr>
      <w:commentRangeStart w:id="12"/>
      <w:r>
        <w:rPr>
          <w:b/>
          <w:bCs/>
          <w:color w:val="008576"/>
        </w:rPr>
        <w:t>[</w:t>
      </w:r>
      <w:r w:rsidRPr="00CC40F6">
        <w:rPr>
          <w:b/>
          <w:bCs/>
          <w:color w:val="008576"/>
        </w:rPr>
        <w:t>Applying a hierarchy between the available interventions and the approach to use where an option has been used previously</w:t>
      </w:r>
      <w:r>
        <w:rPr>
          <w:b/>
          <w:bCs/>
          <w:color w:val="008576"/>
        </w:rPr>
        <w:t>]</w:t>
      </w:r>
      <w:commentRangeEnd w:id="12"/>
      <w:r w:rsidR="00156514" w:rsidRPr="00156514">
        <w:rPr>
          <w:rStyle w:val="CommentReference"/>
          <w:sz w:val="20"/>
          <w:szCs w:val="22"/>
        </w:rPr>
        <w:commentReference w:id="12"/>
      </w:r>
    </w:p>
    <w:p w14:paraId="1D265257" w14:textId="4A7BF536" w:rsidR="00156514" w:rsidRPr="00156514" w:rsidRDefault="00156514" w:rsidP="00014988">
      <w:pPr>
        <w:numPr>
          <w:ilvl w:val="1"/>
          <w:numId w:val="2"/>
        </w:numPr>
        <w:tabs>
          <w:tab w:val="num" w:pos="567"/>
        </w:tabs>
        <w:spacing w:line="360" w:lineRule="auto"/>
        <w:jc w:val="both"/>
        <w:rPr>
          <w:b/>
          <w:bCs/>
          <w:color w:val="008576"/>
        </w:rPr>
      </w:pPr>
      <w:commentRangeStart w:id="13"/>
      <w:r w:rsidRPr="00156514">
        <w:rPr>
          <w:b/>
          <w:bCs/>
          <w:color w:val="008576"/>
        </w:rPr>
        <w:t>The placement and numbering of the proposed additional paragraph in Annex 1, given the existing paragraph 5.4.</w:t>
      </w:r>
      <w:commentRangeEnd w:id="13"/>
      <w:r w:rsidR="00EC47B6" w:rsidRPr="00156514">
        <w:rPr>
          <w:rStyle w:val="CommentReference"/>
          <w:b/>
          <w:bCs/>
          <w:color w:val="008576"/>
          <w:sz w:val="20"/>
          <w:szCs w:val="22"/>
        </w:rPr>
        <w:commentReference w:id="13"/>
      </w:r>
    </w:p>
    <w:p w14:paraId="00961D72" w14:textId="6A83723D" w:rsidR="00BF295F" w:rsidRPr="005A5548" w:rsidRDefault="005A5548" w:rsidP="00014988">
      <w:pPr>
        <w:rPr>
          <w:b/>
          <w:bCs/>
          <w:color w:val="008576"/>
        </w:rPr>
      </w:pPr>
      <w:r w:rsidRPr="005A5548">
        <w:rPr>
          <w:b/>
          <w:bCs/>
          <w:color w:val="008576"/>
        </w:rPr>
        <w:t>Other Impacted/Relevant CPs</w:t>
      </w:r>
    </w:p>
    <w:p w14:paraId="160CF53E" w14:textId="64D50605" w:rsidR="00527AB0" w:rsidRDefault="00737526" w:rsidP="00E141C7">
      <w:pPr>
        <w:numPr>
          <w:ilvl w:val="1"/>
          <w:numId w:val="2"/>
        </w:numPr>
        <w:tabs>
          <w:tab w:val="num" w:pos="567"/>
        </w:tabs>
        <w:spacing w:line="360" w:lineRule="auto"/>
        <w:jc w:val="both"/>
      </w:pPr>
      <w:r>
        <w:t>The Working Group reviewed the legal text for Change Proposals that are out to vote or pending implementation and did not identify any interactions with these.</w:t>
      </w:r>
    </w:p>
    <w:p w14:paraId="54A299F3" w14:textId="28549273" w:rsidR="00527AB0" w:rsidRDefault="00527AB0" w:rsidP="00527AB0">
      <w:pPr>
        <w:pStyle w:val="Heading1"/>
      </w:pPr>
      <w:bookmarkStart w:id="14" w:name="_Toc235084443"/>
      <w:r>
        <w:t>Code Specific Matters</w:t>
      </w:r>
      <w:bookmarkEnd w:id="14"/>
    </w:p>
    <w:p w14:paraId="7CF8EB8C" w14:textId="7B8A11EA" w:rsidR="00527AB0" w:rsidRPr="00EC2117" w:rsidRDefault="00EC2117" w:rsidP="0097346C">
      <w:pPr>
        <w:rPr>
          <w:b/>
          <w:bCs/>
          <w:color w:val="008576"/>
        </w:rPr>
      </w:pPr>
      <w:r w:rsidRPr="00EC2117">
        <w:rPr>
          <w:b/>
          <w:bCs/>
          <w:color w:val="008576"/>
        </w:rPr>
        <w:t>Reference Documents</w:t>
      </w:r>
    </w:p>
    <w:p w14:paraId="747145C1" w14:textId="7DC998F3" w:rsidR="00527AB0" w:rsidRDefault="0097346C" w:rsidP="00E141C7">
      <w:pPr>
        <w:numPr>
          <w:ilvl w:val="1"/>
          <w:numId w:val="2"/>
        </w:numPr>
        <w:tabs>
          <w:tab w:val="num" w:pos="567"/>
        </w:tabs>
        <w:spacing w:line="360" w:lineRule="auto"/>
        <w:jc w:val="both"/>
      </w:pPr>
      <w:r w:rsidRPr="0097346C">
        <w:t>There are no additional reference documents included with this document.</w:t>
      </w:r>
    </w:p>
    <w:p w14:paraId="00941F67" w14:textId="595D916B" w:rsidR="00BF295F" w:rsidRDefault="00EC2117" w:rsidP="00BF295F">
      <w:pPr>
        <w:pStyle w:val="Heading1"/>
      </w:pPr>
      <w:bookmarkStart w:id="15" w:name="_Toc235084444"/>
      <w:r>
        <w:t>Recommendations</w:t>
      </w:r>
      <w:bookmarkEnd w:id="15"/>
    </w:p>
    <w:p w14:paraId="45D63D14" w14:textId="7303BEDB" w:rsidR="00150AC5" w:rsidRDefault="00150AC5" w:rsidP="00E141C7">
      <w:pPr>
        <w:numPr>
          <w:ilvl w:val="1"/>
          <w:numId w:val="2"/>
        </w:numPr>
        <w:tabs>
          <w:tab w:val="num" w:pos="567"/>
        </w:tabs>
        <w:spacing w:line="360" w:lineRule="auto"/>
        <w:jc w:val="both"/>
      </w:pPr>
      <w:r>
        <w:t xml:space="preserve">The Panel approved this Change Report on </w:t>
      </w:r>
      <w:commentRangeStart w:id="16"/>
      <w:r w:rsidR="00C8323A">
        <w:t>16 September 2026</w:t>
      </w:r>
      <w:commentRangeEnd w:id="16"/>
      <w:r w:rsidR="00C8323A">
        <w:rPr>
          <w:rStyle w:val="CommentReference"/>
          <w:sz w:val="20"/>
          <w:szCs w:val="22"/>
        </w:rPr>
        <w:commentReference w:id="16"/>
      </w:r>
      <w:r>
        <w:t>. The Panel considered that the Working Group has carried out the level of analysis required to enable Parties to understand the impact of the proposed amendment and to vote on this CP.</w:t>
      </w:r>
    </w:p>
    <w:p w14:paraId="49B02BD3" w14:textId="0EE555FD" w:rsidR="00BF295F" w:rsidRDefault="00150AC5" w:rsidP="00674EF5">
      <w:pPr>
        <w:numPr>
          <w:ilvl w:val="1"/>
          <w:numId w:val="2"/>
        </w:numPr>
        <w:tabs>
          <w:tab w:val="num" w:pos="567"/>
        </w:tabs>
        <w:spacing w:line="360" w:lineRule="auto"/>
        <w:jc w:val="both"/>
      </w:pPr>
      <w:r>
        <w:t>The Panel has recommended that this report is issued for voting and DCUSA Parties should consider whether they wish to submit views regarding this</w:t>
      </w:r>
      <w:r w:rsidR="00674EF5" w:rsidRPr="00674EF5">
        <w:t xml:space="preserve"> </w:t>
      </w:r>
      <w:r w:rsidR="00674EF5">
        <w:t xml:space="preserve">CP. </w:t>
      </w:r>
      <w:r w:rsidR="00674EF5" w:rsidRPr="00674EF5">
        <w:t xml:space="preserve">The Voting Form can be found in Attachment 2. </w:t>
      </w:r>
    </w:p>
    <w:p w14:paraId="3052B4A4" w14:textId="16CCCE84" w:rsidR="00BF295F" w:rsidRDefault="00DB6CD1" w:rsidP="00BF295F">
      <w:pPr>
        <w:pStyle w:val="Heading1"/>
      </w:pPr>
      <w:bookmarkStart w:id="17" w:name="_Toc235084445"/>
      <w:r>
        <w:lastRenderedPageBreak/>
        <w:t>Attachments</w:t>
      </w:r>
      <w:bookmarkEnd w:id="17"/>
    </w:p>
    <w:p w14:paraId="79CEEFBA" w14:textId="2D164728" w:rsidR="00715341" w:rsidRDefault="00715341" w:rsidP="00715341">
      <w:pPr>
        <w:pStyle w:val="ListBullet2"/>
        <w:tabs>
          <w:tab w:val="num" w:pos="862"/>
        </w:tabs>
        <w:ind w:left="862" w:hanging="284"/>
      </w:pPr>
      <w:r>
        <w:t xml:space="preserve">Attachment 1 – DCP </w:t>
      </w:r>
      <w:r>
        <w:t>477</w:t>
      </w:r>
      <w:r>
        <w:t xml:space="preserve"> Legal Text</w:t>
      </w:r>
    </w:p>
    <w:p w14:paraId="12CFAAD5" w14:textId="6D37CC11" w:rsidR="00715341" w:rsidRDefault="00715341" w:rsidP="00715341">
      <w:pPr>
        <w:pStyle w:val="ListBullet2"/>
        <w:tabs>
          <w:tab w:val="num" w:pos="862"/>
        </w:tabs>
        <w:ind w:left="862" w:hanging="284"/>
      </w:pPr>
      <w:r>
        <w:t xml:space="preserve">Attachment 2 – DCP </w:t>
      </w:r>
      <w:r>
        <w:t>477</w:t>
      </w:r>
      <w:r>
        <w:t xml:space="preserve"> Voting Response Form</w:t>
      </w:r>
    </w:p>
    <w:p w14:paraId="43D97563" w14:textId="4F5C936E" w:rsidR="00715341" w:rsidRDefault="00715341" w:rsidP="00715341">
      <w:pPr>
        <w:pStyle w:val="ListBullet2"/>
        <w:tabs>
          <w:tab w:val="num" w:pos="862"/>
        </w:tabs>
        <w:ind w:left="862" w:hanging="284"/>
      </w:pPr>
      <w:r>
        <w:t xml:space="preserve">Attachment 3 – DCP </w:t>
      </w:r>
      <w:r>
        <w:t>477</w:t>
      </w:r>
      <w:r>
        <w:t xml:space="preserve"> Consultation and Responses</w:t>
      </w:r>
    </w:p>
    <w:p w14:paraId="791CEF56" w14:textId="6D60E4D7" w:rsidR="00BF295F" w:rsidRDefault="00BF295F" w:rsidP="00674EF5"/>
    <w:sectPr w:rsidR="00BF295F" w:rsidSect="00A46135">
      <w:headerReference w:type="default" r:id="rId24"/>
      <w:footerReference w:type="default" r:id="rId25"/>
      <w:headerReference w:type="first" r:id="rId26"/>
      <w:pgSz w:w="11906" w:h="16838" w:code="9"/>
      <w:pgMar w:top="1418" w:right="1134" w:bottom="1134" w:left="1134" w:header="454" w:footer="47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raig Booth" w:date="2026-07-16T08:50:00Z" w:initials="CB">
    <w:p w14:paraId="6E999BE0" w14:textId="77777777" w:rsidR="00E303F0" w:rsidRDefault="00E303F0" w:rsidP="00E303F0">
      <w:pPr>
        <w:pStyle w:val="CommentText"/>
      </w:pPr>
      <w:r>
        <w:rPr>
          <w:rStyle w:val="CommentReference"/>
        </w:rPr>
        <w:annotationRef/>
      </w:r>
      <w:r>
        <w:t>Update</w:t>
      </w:r>
    </w:p>
  </w:comment>
  <w:comment w:id="8" w:author="Dylan Townsend" w:date="2026-08-18T13:17:00Z" w:initials="DT">
    <w:p w14:paraId="23DEC440" w14:textId="77777777" w:rsidR="00E141C7" w:rsidRDefault="00E141C7" w:rsidP="00E141C7">
      <w:pPr>
        <w:pStyle w:val="CommentText"/>
      </w:pPr>
      <w:r>
        <w:rPr>
          <w:rStyle w:val="CommentReference"/>
        </w:rPr>
        <w:annotationRef/>
      </w:r>
      <w:r>
        <w:t>WG to confirm during meeting 05</w:t>
      </w:r>
    </w:p>
  </w:comment>
  <w:comment w:id="12" w:author="Dylan Townsend" w:date="2026-08-18T13:26:00Z" w:initials="DT">
    <w:p w14:paraId="04319696" w14:textId="77777777" w:rsidR="00156514" w:rsidRDefault="00156514" w:rsidP="00156514">
      <w:pPr>
        <w:pStyle w:val="CommentText"/>
      </w:pPr>
      <w:r>
        <w:rPr>
          <w:rStyle w:val="CommentReference"/>
        </w:rPr>
        <w:annotationRef/>
      </w:r>
      <w:r>
        <w:t>Placeholder to confirm what changes were made to the text due to this topic.</w:t>
      </w:r>
    </w:p>
  </w:comment>
  <w:comment w:id="13" w:author="Dylan Townsend" w:date="2026-08-18T13:27:00Z" w:initials="DT">
    <w:p w14:paraId="56A29F33" w14:textId="77777777" w:rsidR="00EC47B6" w:rsidRDefault="00EC47B6" w:rsidP="00EC47B6">
      <w:pPr>
        <w:pStyle w:val="CommentText"/>
      </w:pPr>
      <w:r>
        <w:rPr>
          <w:rStyle w:val="CommentReference"/>
        </w:rPr>
        <w:annotationRef/>
      </w:r>
      <w:r>
        <w:t>Placeholder to confirm what changes were made to the text due to this topic.</w:t>
      </w:r>
    </w:p>
  </w:comment>
  <w:comment w:id="16" w:author="Craig Booth" w:date="2026-07-16T08:48:00Z" w:initials="CB">
    <w:p w14:paraId="71BDDA4E" w14:textId="77777777" w:rsidR="00C8323A" w:rsidRDefault="00C8323A" w:rsidP="00C8323A">
      <w:pPr>
        <w:pStyle w:val="CommentText"/>
      </w:pPr>
      <w:r>
        <w:rPr>
          <w:rStyle w:val="CommentReference"/>
        </w:rPr>
        <w:annotationRef/>
      </w:r>
      <w: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E999BE0" w15:done="0"/>
  <w15:commentEx w15:paraId="23DEC440" w15:done="0"/>
  <w15:commentEx w15:paraId="04319696" w15:done="0"/>
  <w15:commentEx w15:paraId="56A29F33" w15:done="0"/>
  <w15:commentEx w15:paraId="71BDDA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208ED2" w16cex:dateUtc="2026-07-16T07:50:00Z"/>
  <w16cex:commentExtensible w16cex:durableId="0C4DD4A5" w16cex:dateUtc="2026-08-18T12:17:00Z"/>
  <w16cex:commentExtensible w16cex:durableId="6BD6BA92" w16cex:dateUtc="2026-08-18T12:26:00Z"/>
  <w16cex:commentExtensible w16cex:durableId="76926E74" w16cex:dateUtc="2026-08-18T12:27:00Z"/>
  <w16cex:commentExtensible w16cex:durableId="6F96DAAD" w16cex:dateUtc="2026-07-16T0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E999BE0" w16cid:durableId="17208ED2"/>
  <w16cid:commentId w16cid:paraId="23DEC440" w16cid:durableId="0C4DD4A5"/>
  <w16cid:commentId w16cid:paraId="04319696" w16cid:durableId="6BD6BA92"/>
  <w16cid:commentId w16cid:paraId="56A29F33" w16cid:durableId="76926E74"/>
  <w16cid:commentId w16cid:paraId="71BDDA4E" w16cid:durableId="6F96DA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10793" w14:textId="77777777" w:rsidR="008D27A3" w:rsidRDefault="008D27A3" w:rsidP="00A46135">
      <w:pPr>
        <w:spacing w:after="0" w:line="240" w:lineRule="auto"/>
      </w:pPr>
      <w:r>
        <w:separator/>
      </w:r>
    </w:p>
  </w:endnote>
  <w:endnote w:type="continuationSeparator" w:id="0">
    <w:p w14:paraId="1036F295" w14:textId="77777777" w:rsidR="008D27A3" w:rsidRDefault="008D27A3" w:rsidP="00A46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4955435"/>
      <w:docPartObj>
        <w:docPartGallery w:val="Page Numbers (Bottom of Page)"/>
        <w:docPartUnique/>
      </w:docPartObj>
    </w:sdtPr>
    <w:sdtEndPr>
      <w:rPr>
        <w:rFonts w:cs="Arial"/>
        <w:sz w:val="16"/>
        <w:szCs w:val="16"/>
      </w:rPr>
    </w:sdtEndPr>
    <w:sdtContent>
      <w:sdt>
        <w:sdtPr>
          <w:rPr>
            <w:rFonts w:cs="Arial"/>
            <w:sz w:val="16"/>
            <w:szCs w:val="16"/>
          </w:rPr>
          <w:id w:val="1728636285"/>
          <w:docPartObj>
            <w:docPartGallery w:val="Page Numbers (Top of Page)"/>
            <w:docPartUnique/>
          </w:docPartObj>
        </w:sdtPr>
        <w:sdtEndPr/>
        <w:sdtContent>
          <w:p w14:paraId="68E031BC" w14:textId="233B0821" w:rsidR="00103651" w:rsidRPr="00227B26" w:rsidRDefault="004B0ED6" w:rsidP="004B0ED6">
            <w:pPr>
              <w:pStyle w:val="Footer"/>
              <w:tabs>
                <w:tab w:val="clear" w:pos="4513"/>
                <w:tab w:val="clear" w:pos="9026"/>
                <w:tab w:val="center" w:pos="4820"/>
                <w:tab w:val="right" w:pos="9638"/>
              </w:tabs>
              <w:rPr>
                <w:rFonts w:cs="Arial"/>
                <w:sz w:val="16"/>
                <w:szCs w:val="16"/>
              </w:rPr>
            </w:pPr>
            <w:r w:rsidRPr="004B0ED6">
              <w:rPr>
                <w:rFonts w:cs="Arial"/>
                <w:sz w:val="16"/>
                <w:szCs w:val="16"/>
              </w:rPr>
              <w:t>©2026 All Rights Reserved</w:t>
            </w:r>
            <w:r w:rsidR="00BE3C37" w:rsidRPr="00227B26">
              <w:rPr>
                <w:rFonts w:cs="Arial"/>
                <w:sz w:val="16"/>
                <w:szCs w:val="16"/>
              </w:rPr>
              <w:tab/>
            </w:r>
            <w:r w:rsidR="00C157EA" w:rsidRPr="00227B26">
              <w:rPr>
                <w:rFonts w:cs="Arial"/>
                <w:sz w:val="16"/>
                <w:szCs w:val="16"/>
              </w:rPr>
              <w:t xml:space="preserve">Page </w:t>
            </w:r>
            <w:r w:rsidR="00C157EA" w:rsidRPr="00227B26">
              <w:rPr>
                <w:rFonts w:cs="Arial"/>
                <w:b/>
                <w:bCs/>
                <w:sz w:val="18"/>
                <w:szCs w:val="18"/>
              </w:rPr>
              <w:fldChar w:fldCharType="begin"/>
            </w:r>
            <w:r w:rsidR="00C157EA" w:rsidRPr="00227B26">
              <w:rPr>
                <w:rFonts w:cs="Arial"/>
                <w:b/>
                <w:bCs/>
                <w:sz w:val="16"/>
                <w:szCs w:val="16"/>
              </w:rPr>
              <w:instrText xml:space="preserve"> PAGE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C157EA" w:rsidRPr="00227B26">
              <w:rPr>
                <w:rFonts w:cs="Arial"/>
                <w:sz w:val="16"/>
                <w:szCs w:val="16"/>
              </w:rPr>
              <w:t xml:space="preserve"> of </w:t>
            </w:r>
            <w:r w:rsidR="00C157EA" w:rsidRPr="00227B26">
              <w:rPr>
                <w:rFonts w:cs="Arial"/>
                <w:b/>
                <w:bCs/>
                <w:sz w:val="18"/>
                <w:szCs w:val="18"/>
              </w:rPr>
              <w:fldChar w:fldCharType="begin"/>
            </w:r>
            <w:r w:rsidR="00C157EA" w:rsidRPr="00227B26">
              <w:rPr>
                <w:rFonts w:cs="Arial"/>
                <w:b/>
                <w:bCs/>
                <w:sz w:val="16"/>
                <w:szCs w:val="16"/>
              </w:rPr>
              <w:instrText xml:space="preserve"> NUMPAGES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BE3C37" w:rsidRPr="00227B26">
              <w:rPr>
                <w:rFonts w:cs="Arial"/>
                <w:b/>
                <w:bCs/>
                <w:sz w:val="18"/>
                <w:szCs w:val="18"/>
              </w:rPr>
              <w:tab/>
            </w:r>
            <w:r w:rsidR="000C1DBE" w:rsidRPr="00227B26">
              <w:rPr>
                <w:rFonts w:cs="Arial"/>
                <w:sz w:val="18"/>
                <w:szCs w:val="18"/>
              </w:rPr>
              <w:t>Version 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421B4" w14:textId="77777777" w:rsidR="008D27A3" w:rsidRDefault="008D27A3" w:rsidP="00A46135">
      <w:pPr>
        <w:spacing w:after="0" w:line="240" w:lineRule="auto"/>
      </w:pPr>
      <w:r>
        <w:separator/>
      </w:r>
    </w:p>
  </w:footnote>
  <w:footnote w:type="continuationSeparator" w:id="0">
    <w:p w14:paraId="0C3F6184" w14:textId="77777777" w:rsidR="008D27A3" w:rsidRDefault="008D27A3" w:rsidP="00A46135">
      <w:pPr>
        <w:spacing w:after="0" w:line="240" w:lineRule="auto"/>
      </w:pPr>
      <w:r>
        <w:continuationSeparator/>
      </w:r>
    </w:p>
  </w:footnote>
  <w:footnote w:id="1">
    <w:p w14:paraId="34C50964" w14:textId="77777777" w:rsidR="00B54F44" w:rsidRDefault="00B54F44" w:rsidP="00B54F44">
      <w:pPr>
        <w:pStyle w:val="FootnoteText"/>
      </w:pPr>
      <w:r>
        <w:rPr>
          <w:rStyle w:val="FootnoteReference"/>
        </w:rPr>
        <w:footnoteRef/>
      </w:r>
      <w:r>
        <w:t xml:space="preserve">  </w:t>
      </w:r>
      <w:r w:rsidRPr="00F84030">
        <w:t xml:space="preserve">Surplus residual revenue occurs when the revenue collected from forward-looking network charges exceeds the revenue permitted under the price control. ‘Excessive’ is </w:t>
      </w:r>
      <w:r w:rsidRPr="00DA4D40">
        <w:t>demonstrated by negative fixed charges or the failure to produce a set of tariffs</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9C57" w14:textId="44565177" w:rsidR="00A46135" w:rsidRDefault="00A46135">
    <w:pPr>
      <w:pStyle w:val="Header"/>
    </w:pPr>
    <w:r>
      <w:rPr>
        <w:noProof/>
      </w:rPr>
      <w:drawing>
        <wp:anchor distT="0" distB="0" distL="114300" distR="114300" simplePos="0" relativeHeight="251661312" behindDoc="0" locked="0" layoutInCell="1" allowOverlap="1" wp14:anchorId="3E800C2F" wp14:editId="2BD928C3">
          <wp:simplePos x="0" y="0"/>
          <wp:positionH relativeFrom="margin">
            <wp:posOffset>3944311</wp:posOffset>
          </wp:positionH>
          <wp:positionV relativeFrom="paragraph">
            <wp:posOffset>-192903</wp:posOffset>
          </wp:positionV>
          <wp:extent cx="2317750" cy="784860"/>
          <wp:effectExtent l="0" t="0" r="6350" b="0"/>
          <wp:wrapNone/>
          <wp:docPr id="2663849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2954" w14:textId="2DA75894" w:rsidR="00A46135" w:rsidRDefault="00A46135">
    <w:pPr>
      <w:pStyle w:val="Header"/>
    </w:pPr>
    <w:r>
      <w:rPr>
        <w:noProof/>
      </w:rPr>
      <w:drawing>
        <wp:anchor distT="0" distB="0" distL="114300" distR="114300" simplePos="0" relativeHeight="251659264" behindDoc="0" locked="0" layoutInCell="1" allowOverlap="1" wp14:anchorId="07FDFBA3" wp14:editId="4D54ABF9">
          <wp:simplePos x="0" y="0"/>
          <wp:positionH relativeFrom="margin">
            <wp:align>right</wp:align>
          </wp:positionH>
          <wp:positionV relativeFrom="paragraph">
            <wp:posOffset>-25349</wp:posOffset>
          </wp:positionV>
          <wp:extent cx="2317750" cy="784860"/>
          <wp:effectExtent l="0" t="0" r="6350" b="0"/>
          <wp:wrapNone/>
          <wp:docPr id="12931324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6C02"/>
    <w:multiLevelType w:val="multilevel"/>
    <w:tmpl w:val="8E8C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270122"/>
    <w:multiLevelType w:val="multilevel"/>
    <w:tmpl w:val="5B1A6566"/>
    <w:lvl w:ilvl="0">
      <w:start w:val="1"/>
      <w:numFmt w:val="decimal"/>
      <w:lvlText w:val="%1"/>
      <w:lvlJc w:val="left"/>
      <w:pPr>
        <w:ind w:left="567" w:hanging="567"/>
      </w:pPr>
      <w:rPr>
        <w:rFonts w:ascii="Arial" w:hAnsi="Aria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9C3E12"/>
    <w:multiLevelType w:val="multilevel"/>
    <w:tmpl w:val="8E8C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FD2CDC"/>
    <w:multiLevelType w:val="multilevel"/>
    <w:tmpl w:val="8E8C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F03CB2"/>
    <w:multiLevelType w:val="multilevel"/>
    <w:tmpl w:val="8E8C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793B62"/>
    <w:multiLevelType w:val="multilevel"/>
    <w:tmpl w:val="8E8C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6F08A2"/>
    <w:multiLevelType w:val="hybridMultilevel"/>
    <w:tmpl w:val="B130F336"/>
    <w:lvl w:ilvl="0" w:tplc="27C662FA">
      <w:start w:val="1"/>
      <w:numFmt w:val="bullet"/>
      <w:pStyle w:val="GSBodyPara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2E14AD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AD02B91"/>
    <w:multiLevelType w:val="multilevel"/>
    <w:tmpl w:val="A07A00FC"/>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EFA24A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4F9F4DB5"/>
    <w:multiLevelType w:val="hybridMultilevel"/>
    <w:tmpl w:val="C1904E00"/>
    <w:lvl w:ilvl="0" w:tplc="CEA41F22">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F521F0"/>
    <w:multiLevelType w:val="hybridMultilevel"/>
    <w:tmpl w:val="7402D930"/>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15:restartNumberingAfterBreak="0">
    <w:nsid w:val="5FD95546"/>
    <w:multiLevelType w:val="multilevel"/>
    <w:tmpl w:val="8E8C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DCD29A8"/>
    <w:multiLevelType w:val="multilevel"/>
    <w:tmpl w:val="31225E7A"/>
    <w:lvl w:ilvl="0">
      <w:start w:val="1"/>
      <w:numFmt w:val="decimal"/>
      <w:pStyle w:val="Heading1"/>
      <w:lvlText w:val="%1"/>
      <w:lvlJc w:val="left"/>
      <w:pPr>
        <w:ind w:left="567" w:hanging="567"/>
      </w:pPr>
      <w:rPr>
        <w:rFonts w:ascii="Arial" w:hAnsi="Arial" w:hint="default"/>
      </w:rPr>
    </w:lvl>
    <w:lvl w:ilvl="1">
      <w:start w:val="1"/>
      <w:numFmt w:val="decimal"/>
      <w:lvlText w:val="%1.%2"/>
      <w:lvlJc w:val="left"/>
      <w:pPr>
        <w:ind w:left="567" w:hanging="567"/>
      </w:pPr>
      <w:rPr>
        <w:rFonts w:ascii="Arial" w:hAnsi="Arial" w:hint="default"/>
        <w:b w:val="0"/>
        <w:bCs w:val="0"/>
        <w:color w:val="auto"/>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2EE7787"/>
    <w:multiLevelType w:val="multilevel"/>
    <w:tmpl w:val="5B1A6566"/>
    <w:lvl w:ilvl="0">
      <w:start w:val="1"/>
      <w:numFmt w:val="decimal"/>
      <w:lvlText w:val="%1"/>
      <w:lvlJc w:val="left"/>
      <w:pPr>
        <w:ind w:left="567" w:hanging="567"/>
      </w:pPr>
      <w:rPr>
        <w:rFonts w:ascii="Arial" w:hAnsi="Arial"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6A86190"/>
    <w:multiLevelType w:val="multilevel"/>
    <w:tmpl w:val="28721648"/>
    <w:lvl w:ilvl="0">
      <w:start w:val="1"/>
      <w:numFmt w:val="bullet"/>
      <w:pStyle w:val="ListBullet2"/>
      <w:lvlText w:val=""/>
      <w:lvlJc w:val="left"/>
      <w:pPr>
        <w:tabs>
          <w:tab w:val="num" w:pos="862"/>
        </w:tabs>
        <w:ind w:left="862" w:hanging="284"/>
      </w:pPr>
      <w:rPr>
        <w:rFonts w:ascii="Symbol" w:hAnsi="Symbol" w:hint="default"/>
        <w:b w:val="0"/>
        <w:i w:val="0"/>
        <w:color w:val="auto"/>
        <w:sz w:val="20"/>
      </w:rPr>
    </w:lvl>
    <w:lvl w:ilvl="1">
      <w:start w:val="1"/>
      <w:numFmt w:val="bullet"/>
      <w:pStyle w:val="TableList"/>
      <w:lvlText w:val=""/>
      <w:lvlJc w:val="left"/>
      <w:pPr>
        <w:tabs>
          <w:tab w:val="num" w:pos="1032"/>
        </w:tabs>
        <w:ind w:left="1032" w:hanging="341"/>
      </w:pPr>
      <w:rPr>
        <w:rFonts w:ascii="Symbol" w:hAnsi="Symbol" w:hint="default"/>
        <w:b w:val="0"/>
        <w:i w:val="0"/>
        <w:color w:val="008DA8"/>
        <w:sz w:val="20"/>
      </w:rPr>
    </w:lvl>
    <w:lvl w:ilvl="2">
      <w:start w:val="1"/>
      <w:numFmt w:val="bullet"/>
      <w:lvlText w:val=""/>
      <w:lvlJc w:val="left"/>
      <w:pPr>
        <w:tabs>
          <w:tab w:val="num" w:pos="1315"/>
        </w:tabs>
        <w:ind w:left="1315" w:hanging="283"/>
      </w:pPr>
      <w:rPr>
        <w:rFonts w:ascii="Symbol" w:hAnsi="Symbol" w:hint="default"/>
        <w:b w:val="0"/>
        <w:i w:val="0"/>
        <w:color w:val="008DA8"/>
        <w:sz w:val="20"/>
      </w:rPr>
    </w:lvl>
    <w:lvl w:ilvl="3">
      <w:start w:val="1"/>
      <w:numFmt w:val="bullet"/>
      <w:lvlText w:val=""/>
      <w:lvlJc w:val="left"/>
      <w:pPr>
        <w:tabs>
          <w:tab w:val="num" w:pos="1769"/>
        </w:tabs>
        <w:ind w:left="1769" w:hanging="454"/>
      </w:pPr>
      <w:rPr>
        <w:rFonts w:ascii="Symbol" w:hAnsi="Symbol" w:hint="default"/>
        <w:b w:val="0"/>
        <w:i w:val="0"/>
        <w:color w:val="008DA8"/>
        <w:sz w:val="20"/>
      </w:rPr>
    </w:lvl>
    <w:lvl w:ilvl="4">
      <w:start w:val="1"/>
      <w:numFmt w:val="bullet"/>
      <w:lvlText w:val=""/>
      <w:lvlJc w:val="left"/>
      <w:pPr>
        <w:tabs>
          <w:tab w:val="num" w:pos="3697"/>
        </w:tabs>
        <w:ind w:left="3697" w:hanging="964"/>
      </w:pPr>
      <w:rPr>
        <w:rFonts w:ascii="Symbol" w:hAnsi="Symbol" w:hint="default"/>
        <w:b w:val="0"/>
        <w:i w:val="0"/>
        <w:color w:val="008DA8"/>
        <w:sz w:val="20"/>
      </w:rPr>
    </w:lvl>
    <w:lvl w:ilvl="5">
      <w:start w:val="1"/>
      <w:numFmt w:val="bullet"/>
      <w:lvlText w:val=""/>
      <w:lvlJc w:val="left"/>
      <w:pPr>
        <w:tabs>
          <w:tab w:val="num" w:pos="4831"/>
        </w:tabs>
        <w:ind w:left="4831" w:hanging="1134"/>
      </w:pPr>
      <w:rPr>
        <w:rFonts w:ascii="Symbol" w:hAnsi="Symbol" w:hint="default"/>
        <w:b w:val="0"/>
        <w:i w:val="0"/>
        <w:color w:val="008DA8"/>
        <w:sz w:val="20"/>
      </w:rPr>
    </w:lvl>
    <w:lvl w:ilvl="6">
      <w:start w:val="1"/>
      <w:numFmt w:val="bullet"/>
      <w:lvlText w:val=""/>
      <w:lvlJc w:val="left"/>
      <w:pPr>
        <w:tabs>
          <w:tab w:val="num" w:pos="6135"/>
        </w:tabs>
        <w:ind w:left="6135" w:hanging="1304"/>
      </w:pPr>
      <w:rPr>
        <w:rFonts w:ascii="Symbol" w:hAnsi="Symbol" w:hint="default"/>
        <w:b w:val="0"/>
        <w:i w:val="0"/>
        <w:color w:val="008DA8"/>
        <w:sz w:val="20"/>
      </w:rPr>
    </w:lvl>
    <w:lvl w:ilvl="7">
      <w:start w:val="1"/>
      <w:numFmt w:val="bullet"/>
      <w:lvlText w:val=""/>
      <w:lvlJc w:val="left"/>
      <w:pPr>
        <w:tabs>
          <w:tab w:val="num" w:pos="5284"/>
        </w:tabs>
        <w:ind w:left="5284" w:hanging="1077"/>
      </w:pPr>
      <w:rPr>
        <w:rFonts w:ascii="Symbol" w:hAnsi="Symbol" w:hint="default"/>
        <w:b w:val="0"/>
        <w:i w:val="0"/>
        <w:color w:val="008DA8"/>
        <w:sz w:val="20"/>
      </w:rPr>
    </w:lvl>
    <w:lvl w:ilvl="8">
      <w:start w:val="1"/>
      <w:numFmt w:val="bullet"/>
      <w:lvlText w:val=""/>
      <w:lvlJc w:val="left"/>
      <w:pPr>
        <w:tabs>
          <w:tab w:val="num" w:pos="7722"/>
        </w:tabs>
        <w:ind w:left="7722" w:hanging="1587"/>
      </w:pPr>
      <w:rPr>
        <w:rFonts w:ascii="Symbol" w:hAnsi="Symbol" w:hint="default"/>
        <w:b w:val="0"/>
        <w:i w:val="0"/>
        <w:color w:val="008DA8"/>
        <w:sz w:val="20"/>
      </w:rPr>
    </w:lvl>
  </w:abstractNum>
  <w:abstractNum w:abstractNumId="16" w15:restartNumberingAfterBreak="0">
    <w:nsid w:val="7A210585"/>
    <w:multiLevelType w:val="multilevel"/>
    <w:tmpl w:val="D8E2DDB2"/>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7" w15:restartNumberingAfterBreak="0">
    <w:nsid w:val="7D741EDB"/>
    <w:multiLevelType w:val="hybridMultilevel"/>
    <w:tmpl w:val="BEA2CFEC"/>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7F023F27"/>
    <w:multiLevelType w:val="multilevel"/>
    <w:tmpl w:val="8E8CF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8225259">
    <w:abstractNumId w:val="7"/>
  </w:num>
  <w:num w:numId="2" w16cid:durableId="439377418">
    <w:abstractNumId w:val="13"/>
  </w:num>
  <w:num w:numId="3" w16cid:durableId="1580410541">
    <w:abstractNumId w:val="8"/>
  </w:num>
  <w:num w:numId="4" w16cid:durableId="9125909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96222">
    <w:abstractNumId w:val="10"/>
  </w:num>
  <w:num w:numId="6" w16cid:durableId="174272297">
    <w:abstractNumId w:val="14"/>
  </w:num>
  <w:num w:numId="7" w16cid:durableId="1399286384">
    <w:abstractNumId w:val="1"/>
  </w:num>
  <w:num w:numId="8" w16cid:durableId="1788043612">
    <w:abstractNumId w:val="9"/>
  </w:num>
  <w:num w:numId="9" w16cid:durableId="361982878">
    <w:abstractNumId w:val="11"/>
  </w:num>
  <w:num w:numId="10" w16cid:durableId="1729571495">
    <w:abstractNumId w:val="17"/>
  </w:num>
  <w:num w:numId="11" w16cid:durableId="1132602190">
    <w:abstractNumId w:val="16"/>
  </w:num>
  <w:num w:numId="12" w16cid:durableId="368191425">
    <w:abstractNumId w:val="6"/>
  </w:num>
  <w:num w:numId="13" w16cid:durableId="1054230734">
    <w:abstractNumId w:val="3"/>
  </w:num>
  <w:num w:numId="14" w16cid:durableId="533545871">
    <w:abstractNumId w:val="12"/>
  </w:num>
  <w:num w:numId="15" w16cid:durableId="2044934467">
    <w:abstractNumId w:val="2"/>
  </w:num>
  <w:num w:numId="16" w16cid:durableId="949049909">
    <w:abstractNumId w:val="4"/>
  </w:num>
  <w:num w:numId="17" w16cid:durableId="1755586808">
    <w:abstractNumId w:val="0"/>
  </w:num>
  <w:num w:numId="18" w16cid:durableId="244920110">
    <w:abstractNumId w:val="18"/>
  </w:num>
  <w:num w:numId="19" w16cid:durableId="1630239541">
    <w:abstractNumId w:val="5"/>
  </w:num>
  <w:num w:numId="20" w16cid:durableId="12601403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aig Booth">
    <w15:presenceInfo w15:providerId="None" w15:userId="Craig Booth"/>
  </w15:person>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2C"/>
    <w:rsid w:val="0001187C"/>
    <w:rsid w:val="00014988"/>
    <w:rsid w:val="00026FE6"/>
    <w:rsid w:val="00027E1C"/>
    <w:rsid w:val="00037E1C"/>
    <w:rsid w:val="00041FB6"/>
    <w:rsid w:val="00043FA9"/>
    <w:rsid w:val="000458DC"/>
    <w:rsid w:val="00046030"/>
    <w:rsid w:val="00050BBF"/>
    <w:rsid w:val="00096F2C"/>
    <w:rsid w:val="000B5D4D"/>
    <w:rsid w:val="000B6C72"/>
    <w:rsid w:val="000C16F9"/>
    <w:rsid w:val="000C1DBE"/>
    <w:rsid w:val="000D0489"/>
    <w:rsid w:val="000D26FB"/>
    <w:rsid w:val="000F4DC5"/>
    <w:rsid w:val="00103651"/>
    <w:rsid w:val="00105F2A"/>
    <w:rsid w:val="00117E7B"/>
    <w:rsid w:val="00133159"/>
    <w:rsid w:val="00143A2F"/>
    <w:rsid w:val="00145FC7"/>
    <w:rsid w:val="00150AC5"/>
    <w:rsid w:val="0015302C"/>
    <w:rsid w:val="00156514"/>
    <w:rsid w:val="00164734"/>
    <w:rsid w:val="00165FCE"/>
    <w:rsid w:val="00181C97"/>
    <w:rsid w:val="00183771"/>
    <w:rsid w:val="00193FFB"/>
    <w:rsid w:val="001A4F40"/>
    <w:rsid w:val="001D16A8"/>
    <w:rsid w:val="001F6F54"/>
    <w:rsid w:val="001F769D"/>
    <w:rsid w:val="00221FDC"/>
    <w:rsid w:val="00227B26"/>
    <w:rsid w:val="00254E1A"/>
    <w:rsid w:val="0025705A"/>
    <w:rsid w:val="002750C8"/>
    <w:rsid w:val="00293EDB"/>
    <w:rsid w:val="00295C9B"/>
    <w:rsid w:val="002A3666"/>
    <w:rsid w:val="002B4C4E"/>
    <w:rsid w:val="002F23CC"/>
    <w:rsid w:val="00347557"/>
    <w:rsid w:val="00354313"/>
    <w:rsid w:val="00360C86"/>
    <w:rsid w:val="00364D77"/>
    <w:rsid w:val="00364EE9"/>
    <w:rsid w:val="00380DF6"/>
    <w:rsid w:val="003908D8"/>
    <w:rsid w:val="00393A3C"/>
    <w:rsid w:val="003B74C6"/>
    <w:rsid w:val="003C4FAD"/>
    <w:rsid w:val="003C7F50"/>
    <w:rsid w:val="003D1B14"/>
    <w:rsid w:val="004143E3"/>
    <w:rsid w:val="00422A1E"/>
    <w:rsid w:val="004462AB"/>
    <w:rsid w:val="00451CCF"/>
    <w:rsid w:val="0045729B"/>
    <w:rsid w:val="00460446"/>
    <w:rsid w:val="00462377"/>
    <w:rsid w:val="004957F7"/>
    <w:rsid w:val="004B0ED6"/>
    <w:rsid w:val="004B5850"/>
    <w:rsid w:val="004B7FED"/>
    <w:rsid w:val="004D39F2"/>
    <w:rsid w:val="004D45F1"/>
    <w:rsid w:val="004F126F"/>
    <w:rsid w:val="004F2CBF"/>
    <w:rsid w:val="004F54A9"/>
    <w:rsid w:val="00527AB0"/>
    <w:rsid w:val="00532114"/>
    <w:rsid w:val="005321C7"/>
    <w:rsid w:val="00555FEE"/>
    <w:rsid w:val="00574CF4"/>
    <w:rsid w:val="005964DC"/>
    <w:rsid w:val="005A3382"/>
    <w:rsid w:val="005A5548"/>
    <w:rsid w:val="005A7542"/>
    <w:rsid w:val="005B77B1"/>
    <w:rsid w:val="005D0A33"/>
    <w:rsid w:val="005D6B35"/>
    <w:rsid w:val="005E76A9"/>
    <w:rsid w:val="005F31D6"/>
    <w:rsid w:val="00611C29"/>
    <w:rsid w:val="00630A97"/>
    <w:rsid w:val="00631786"/>
    <w:rsid w:val="0063336C"/>
    <w:rsid w:val="00636FB1"/>
    <w:rsid w:val="006416A3"/>
    <w:rsid w:val="00672D79"/>
    <w:rsid w:val="006749E1"/>
    <w:rsid w:val="00674EF5"/>
    <w:rsid w:val="00691664"/>
    <w:rsid w:val="00696638"/>
    <w:rsid w:val="006972B3"/>
    <w:rsid w:val="006A16BB"/>
    <w:rsid w:val="006B66A3"/>
    <w:rsid w:val="006F52F6"/>
    <w:rsid w:val="00705BEE"/>
    <w:rsid w:val="00715341"/>
    <w:rsid w:val="007246AD"/>
    <w:rsid w:val="00727B24"/>
    <w:rsid w:val="0073104E"/>
    <w:rsid w:val="00737526"/>
    <w:rsid w:val="007441E3"/>
    <w:rsid w:val="00753C16"/>
    <w:rsid w:val="00757A64"/>
    <w:rsid w:val="0076290C"/>
    <w:rsid w:val="00783109"/>
    <w:rsid w:val="00783B7B"/>
    <w:rsid w:val="00794092"/>
    <w:rsid w:val="007B2ED1"/>
    <w:rsid w:val="007D4E10"/>
    <w:rsid w:val="007E63EF"/>
    <w:rsid w:val="007F1955"/>
    <w:rsid w:val="007F41D0"/>
    <w:rsid w:val="008069E3"/>
    <w:rsid w:val="00807509"/>
    <w:rsid w:val="008138C8"/>
    <w:rsid w:val="00816671"/>
    <w:rsid w:val="00821D2C"/>
    <w:rsid w:val="00835043"/>
    <w:rsid w:val="008401A4"/>
    <w:rsid w:val="0085103F"/>
    <w:rsid w:val="00855927"/>
    <w:rsid w:val="00870497"/>
    <w:rsid w:val="00876F7A"/>
    <w:rsid w:val="00883513"/>
    <w:rsid w:val="0089159A"/>
    <w:rsid w:val="00893558"/>
    <w:rsid w:val="00896883"/>
    <w:rsid w:val="008A0042"/>
    <w:rsid w:val="008A28B4"/>
    <w:rsid w:val="008A719D"/>
    <w:rsid w:val="008B4036"/>
    <w:rsid w:val="008B54AB"/>
    <w:rsid w:val="008D21A0"/>
    <w:rsid w:val="008D27A3"/>
    <w:rsid w:val="008D5795"/>
    <w:rsid w:val="008E08CB"/>
    <w:rsid w:val="009020B4"/>
    <w:rsid w:val="00905771"/>
    <w:rsid w:val="0091417D"/>
    <w:rsid w:val="00950AE9"/>
    <w:rsid w:val="00970788"/>
    <w:rsid w:val="0097346C"/>
    <w:rsid w:val="009837BC"/>
    <w:rsid w:val="00991E89"/>
    <w:rsid w:val="009B4657"/>
    <w:rsid w:val="009D4485"/>
    <w:rsid w:val="009D4AC6"/>
    <w:rsid w:val="009D7D67"/>
    <w:rsid w:val="009F078A"/>
    <w:rsid w:val="00A03ADD"/>
    <w:rsid w:val="00A04537"/>
    <w:rsid w:val="00A06218"/>
    <w:rsid w:val="00A074EC"/>
    <w:rsid w:val="00A2012C"/>
    <w:rsid w:val="00A2083C"/>
    <w:rsid w:val="00A208F7"/>
    <w:rsid w:val="00A25897"/>
    <w:rsid w:val="00A36DB8"/>
    <w:rsid w:val="00A418FE"/>
    <w:rsid w:val="00A46135"/>
    <w:rsid w:val="00A46673"/>
    <w:rsid w:val="00A61C61"/>
    <w:rsid w:val="00A640AA"/>
    <w:rsid w:val="00A74E8C"/>
    <w:rsid w:val="00A80789"/>
    <w:rsid w:val="00AD1AC1"/>
    <w:rsid w:val="00AE0ECE"/>
    <w:rsid w:val="00B21675"/>
    <w:rsid w:val="00B414D4"/>
    <w:rsid w:val="00B418F0"/>
    <w:rsid w:val="00B50FA4"/>
    <w:rsid w:val="00B54F44"/>
    <w:rsid w:val="00B5627F"/>
    <w:rsid w:val="00B60089"/>
    <w:rsid w:val="00B613D0"/>
    <w:rsid w:val="00B83EF3"/>
    <w:rsid w:val="00B84859"/>
    <w:rsid w:val="00B86272"/>
    <w:rsid w:val="00B90968"/>
    <w:rsid w:val="00B911EF"/>
    <w:rsid w:val="00BA53A2"/>
    <w:rsid w:val="00BE3C37"/>
    <w:rsid w:val="00BF295F"/>
    <w:rsid w:val="00BF3D2F"/>
    <w:rsid w:val="00BF7214"/>
    <w:rsid w:val="00C006F4"/>
    <w:rsid w:val="00C050AE"/>
    <w:rsid w:val="00C157EA"/>
    <w:rsid w:val="00C26B98"/>
    <w:rsid w:val="00C520D9"/>
    <w:rsid w:val="00C5477C"/>
    <w:rsid w:val="00C60A83"/>
    <w:rsid w:val="00C61EC8"/>
    <w:rsid w:val="00C747C5"/>
    <w:rsid w:val="00C8323A"/>
    <w:rsid w:val="00C962D3"/>
    <w:rsid w:val="00CA2615"/>
    <w:rsid w:val="00CA338E"/>
    <w:rsid w:val="00CB1232"/>
    <w:rsid w:val="00CC40F6"/>
    <w:rsid w:val="00CC67AE"/>
    <w:rsid w:val="00CF66C9"/>
    <w:rsid w:val="00D1247E"/>
    <w:rsid w:val="00D33104"/>
    <w:rsid w:val="00D35335"/>
    <w:rsid w:val="00D43C46"/>
    <w:rsid w:val="00D5223E"/>
    <w:rsid w:val="00D54E64"/>
    <w:rsid w:val="00D80FEC"/>
    <w:rsid w:val="00DB6CD1"/>
    <w:rsid w:val="00DC4B21"/>
    <w:rsid w:val="00DC5F4E"/>
    <w:rsid w:val="00DE2818"/>
    <w:rsid w:val="00E019B3"/>
    <w:rsid w:val="00E141C7"/>
    <w:rsid w:val="00E1744F"/>
    <w:rsid w:val="00E303F0"/>
    <w:rsid w:val="00E43BCA"/>
    <w:rsid w:val="00E512DF"/>
    <w:rsid w:val="00E51DCC"/>
    <w:rsid w:val="00E54C19"/>
    <w:rsid w:val="00E61931"/>
    <w:rsid w:val="00E8711E"/>
    <w:rsid w:val="00E935D5"/>
    <w:rsid w:val="00EA2E90"/>
    <w:rsid w:val="00EB78D8"/>
    <w:rsid w:val="00EC1A6D"/>
    <w:rsid w:val="00EC2117"/>
    <w:rsid w:val="00EC47B6"/>
    <w:rsid w:val="00F157E1"/>
    <w:rsid w:val="00F16A12"/>
    <w:rsid w:val="00F32ECD"/>
    <w:rsid w:val="00F36870"/>
    <w:rsid w:val="00F40968"/>
    <w:rsid w:val="00F542AE"/>
    <w:rsid w:val="00F54D65"/>
    <w:rsid w:val="00F74240"/>
    <w:rsid w:val="00F76791"/>
    <w:rsid w:val="00F8066A"/>
    <w:rsid w:val="00F87707"/>
    <w:rsid w:val="00F971A0"/>
    <w:rsid w:val="00FA200D"/>
    <w:rsid w:val="00FA3478"/>
    <w:rsid w:val="00FB0A5F"/>
    <w:rsid w:val="00FC0EFC"/>
    <w:rsid w:val="00FE1961"/>
    <w:rsid w:val="00FF16D7"/>
    <w:rsid w:val="00FF4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21DA9"/>
  <w15:chartTrackingRefBased/>
  <w15:docId w15:val="{AD1C6CF8-B03E-4153-A6B3-FDDA6234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CBF"/>
    <w:rPr>
      <w:rFonts w:ascii="Arial" w:hAnsi="Arial"/>
      <w:sz w:val="20"/>
    </w:rPr>
  </w:style>
  <w:style w:type="paragraph" w:styleId="Heading1">
    <w:name w:val="heading 1"/>
    <w:basedOn w:val="Normal"/>
    <w:next w:val="Normal"/>
    <w:link w:val="Heading1Char"/>
    <w:uiPriority w:val="9"/>
    <w:qFormat/>
    <w:rsid w:val="00043FA9"/>
    <w:pPr>
      <w:keepNext/>
      <w:keepLines/>
      <w:numPr>
        <w:numId w:val="2"/>
      </w:numPr>
      <w:pBdr>
        <w:top w:val="single" w:sz="48" w:space="1" w:color="9A4D9E"/>
        <w:left w:val="single" w:sz="48" w:space="4" w:color="9A4D9E"/>
        <w:bottom w:val="single" w:sz="48" w:space="1" w:color="9A4D9E"/>
        <w:right w:val="single" w:sz="48" w:space="4" w:color="9A4D9E"/>
      </w:pBdr>
      <w:shd w:val="clear" w:color="auto" w:fill="9A4D9E"/>
      <w:spacing w:before="360" w:after="80"/>
      <w:outlineLvl w:val="0"/>
    </w:pPr>
    <w:rPr>
      <w:rFonts w:eastAsiaTheme="majorEastAsia" w:cstheme="majorBidi"/>
      <w:b/>
      <w:color w:val="FFFFFF" w:themeColor="background1"/>
      <w:sz w:val="28"/>
      <w:szCs w:val="40"/>
    </w:rPr>
  </w:style>
  <w:style w:type="paragraph" w:styleId="Heading2">
    <w:name w:val="heading 2"/>
    <w:basedOn w:val="Normal"/>
    <w:next w:val="Normal"/>
    <w:link w:val="Heading2Char"/>
    <w:uiPriority w:val="9"/>
    <w:semiHidden/>
    <w:unhideWhenUsed/>
    <w:qFormat/>
    <w:rsid w:val="00821D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1D2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1D2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1D2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1D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1D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1D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1D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3FA9"/>
    <w:rPr>
      <w:rFonts w:ascii="Arial" w:eastAsiaTheme="majorEastAsia" w:hAnsi="Arial" w:cstheme="majorBidi"/>
      <w:b/>
      <w:color w:val="FFFFFF" w:themeColor="background1"/>
      <w:sz w:val="28"/>
      <w:szCs w:val="40"/>
      <w:shd w:val="clear" w:color="auto" w:fill="9A4D9E"/>
    </w:rPr>
  </w:style>
  <w:style w:type="character" w:customStyle="1" w:styleId="Heading2Char">
    <w:name w:val="Heading 2 Char"/>
    <w:basedOn w:val="DefaultParagraphFont"/>
    <w:link w:val="Heading2"/>
    <w:uiPriority w:val="9"/>
    <w:semiHidden/>
    <w:rsid w:val="00821D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1D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1D2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1D2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1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1D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1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1D2C"/>
    <w:rPr>
      <w:rFonts w:eastAsiaTheme="majorEastAsia" w:cstheme="majorBidi"/>
      <w:color w:val="272727" w:themeColor="text1" w:themeTint="D8"/>
    </w:rPr>
  </w:style>
  <w:style w:type="paragraph" w:styleId="Title">
    <w:name w:val="Title"/>
    <w:basedOn w:val="Normal"/>
    <w:next w:val="Normal"/>
    <w:link w:val="TitleChar"/>
    <w:uiPriority w:val="10"/>
    <w:qFormat/>
    <w:rsid w:val="00821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1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1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1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1D2C"/>
    <w:pPr>
      <w:spacing w:before="160"/>
      <w:jc w:val="center"/>
    </w:pPr>
    <w:rPr>
      <w:i/>
      <w:iCs/>
      <w:color w:val="404040" w:themeColor="text1" w:themeTint="BF"/>
    </w:rPr>
  </w:style>
  <w:style w:type="character" w:customStyle="1" w:styleId="QuoteChar">
    <w:name w:val="Quote Char"/>
    <w:basedOn w:val="DefaultParagraphFont"/>
    <w:link w:val="Quote"/>
    <w:uiPriority w:val="29"/>
    <w:rsid w:val="00821D2C"/>
    <w:rPr>
      <w:i/>
      <w:iCs/>
      <w:color w:val="404040" w:themeColor="text1" w:themeTint="BF"/>
    </w:rPr>
  </w:style>
  <w:style w:type="paragraph" w:styleId="ListParagraph">
    <w:name w:val="List Paragraph"/>
    <w:basedOn w:val="Normal"/>
    <w:uiPriority w:val="34"/>
    <w:qFormat/>
    <w:rsid w:val="00835043"/>
    <w:pPr>
      <w:ind w:left="720"/>
    </w:pPr>
  </w:style>
  <w:style w:type="character" w:styleId="IntenseEmphasis">
    <w:name w:val="Intense Emphasis"/>
    <w:basedOn w:val="DefaultParagraphFont"/>
    <w:uiPriority w:val="21"/>
    <w:qFormat/>
    <w:rsid w:val="00821D2C"/>
    <w:rPr>
      <w:i/>
      <w:iCs/>
      <w:color w:val="2F5496" w:themeColor="accent1" w:themeShade="BF"/>
    </w:rPr>
  </w:style>
  <w:style w:type="paragraph" w:styleId="IntenseQuote">
    <w:name w:val="Intense Quote"/>
    <w:basedOn w:val="Normal"/>
    <w:next w:val="Normal"/>
    <w:link w:val="IntenseQuoteChar"/>
    <w:uiPriority w:val="30"/>
    <w:qFormat/>
    <w:rsid w:val="00821D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1D2C"/>
    <w:rPr>
      <w:i/>
      <w:iCs/>
      <w:color w:val="2F5496" w:themeColor="accent1" w:themeShade="BF"/>
    </w:rPr>
  </w:style>
  <w:style w:type="character" w:styleId="IntenseReference">
    <w:name w:val="Intense Reference"/>
    <w:basedOn w:val="DefaultParagraphFont"/>
    <w:uiPriority w:val="32"/>
    <w:qFormat/>
    <w:rsid w:val="00821D2C"/>
    <w:rPr>
      <w:b/>
      <w:bCs/>
      <w:smallCaps/>
      <w:color w:val="2F5496" w:themeColor="accent1" w:themeShade="BF"/>
      <w:spacing w:val="5"/>
    </w:rPr>
  </w:style>
  <w:style w:type="paragraph" w:styleId="Header">
    <w:name w:val="header"/>
    <w:basedOn w:val="Normal"/>
    <w:link w:val="HeaderChar"/>
    <w:uiPriority w:val="99"/>
    <w:unhideWhenUsed/>
    <w:rsid w:val="00A46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6135"/>
  </w:style>
  <w:style w:type="paragraph" w:styleId="Footer">
    <w:name w:val="footer"/>
    <w:basedOn w:val="Normal"/>
    <w:link w:val="FooterChar"/>
    <w:uiPriority w:val="99"/>
    <w:unhideWhenUsed/>
    <w:rsid w:val="00A46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6135"/>
  </w:style>
  <w:style w:type="table" w:styleId="TableGrid">
    <w:name w:val="Table Grid"/>
    <w:basedOn w:val="TableNormal"/>
    <w:uiPriority w:val="39"/>
    <w:rsid w:val="00731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5795"/>
    <w:rPr>
      <w:color w:val="0563C1" w:themeColor="hyperlink"/>
      <w:u w:val="single"/>
    </w:rPr>
  </w:style>
  <w:style w:type="character" w:styleId="UnresolvedMention">
    <w:name w:val="Unresolved Mention"/>
    <w:basedOn w:val="DefaultParagraphFont"/>
    <w:uiPriority w:val="99"/>
    <w:semiHidden/>
    <w:unhideWhenUsed/>
    <w:rsid w:val="008D5795"/>
    <w:rPr>
      <w:color w:val="605E5C"/>
      <w:shd w:val="clear" w:color="auto" w:fill="E1DFDD"/>
    </w:rPr>
  </w:style>
  <w:style w:type="paragraph" w:styleId="TOC1">
    <w:name w:val="toc 1"/>
    <w:basedOn w:val="Normal"/>
    <w:next w:val="Normal"/>
    <w:autoRedefine/>
    <w:uiPriority w:val="39"/>
    <w:unhideWhenUsed/>
    <w:rsid w:val="0085103F"/>
    <w:pPr>
      <w:tabs>
        <w:tab w:val="left" w:pos="480"/>
        <w:tab w:val="right" w:leader="dot" w:pos="9628"/>
      </w:tabs>
      <w:spacing w:after="100" w:line="240" w:lineRule="auto"/>
    </w:pPr>
    <w:rPr>
      <w:b/>
      <w:color w:val="008576"/>
      <w:sz w:val="24"/>
    </w:rPr>
  </w:style>
  <w:style w:type="paragraph" w:styleId="TOCHeading">
    <w:name w:val="TOC Heading"/>
    <w:basedOn w:val="Heading1"/>
    <w:next w:val="Normal"/>
    <w:uiPriority w:val="39"/>
    <w:unhideWhenUsed/>
    <w:qFormat/>
    <w:rsid w:val="006A16BB"/>
    <w:pPr>
      <w:numPr>
        <w:numId w:val="0"/>
      </w:numPr>
      <w:pBdr>
        <w:top w:val="none" w:sz="0" w:space="0" w:color="auto"/>
        <w:left w:val="none" w:sz="0" w:space="0" w:color="auto"/>
        <w:bottom w:val="none" w:sz="0" w:space="0" w:color="auto"/>
        <w:right w:val="none" w:sz="0" w:space="0" w:color="auto"/>
      </w:pBdr>
      <w:shd w:val="clear" w:color="auto" w:fill="auto"/>
      <w:spacing w:before="240" w:after="0"/>
      <w:outlineLvl w:val="9"/>
    </w:pPr>
    <w:rPr>
      <w:rFonts w:asciiTheme="majorHAnsi" w:hAnsiTheme="majorHAnsi"/>
      <w:b w:val="0"/>
      <w:color w:val="2F5496" w:themeColor="accent1" w:themeShade="BF"/>
      <w:kern w:val="0"/>
      <w:sz w:val="32"/>
      <w:szCs w:val="32"/>
      <w:lang w:val="en-US"/>
      <w14:ligatures w14:val="none"/>
    </w:rPr>
  </w:style>
  <w:style w:type="paragraph" w:styleId="TOC9">
    <w:name w:val="toc 9"/>
    <w:basedOn w:val="Normal"/>
    <w:next w:val="Normal"/>
    <w:autoRedefine/>
    <w:uiPriority w:val="39"/>
    <w:semiHidden/>
    <w:unhideWhenUsed/>
    <w:rsid w:val="00C61EC8"/>
    <w:pPr>
      <w:spacing w:after="100"/>
      <w:ind w:left="1760"/>
    </w:pPr>
  </w:style>
  <w:style w:type="paragraph" w:styleId="TOC2">
    <w:name w:val="toc 2"/>
    <w:basedOn w:val="Normal"/>
    <w:next w:val="Normal"/>
    <w:autoRedefine/>
    <w:uiPriority w:val="39"/>
    <w:semiHidden/>
    <w:unhideWhenUsed/>
    <w:rsid w:val="0085103F"/>
    <w:pPr>
      <w:spacing w:after="100"/>
      <w:ind w:left="220"/>
    </w:pPr>
  </w:style>
  <w:style w:type="paragraph" w:styleId="ListNumber">
    <w:name w:val="List Number"/>
    <w:basedOn w:val="Normal"/>
    <w:rsid w:val="00672D79"/>
    <w:pPr>
      <w:numPr>
        <w:numId w:val="4"/>
      </w:numPr>
      <w:tabs>
        <w:tab w:val="clear" w:pos="720"/>
      </w:tabs>
      <w:spacing w:before="120" w:after="120" w:line="300" w:lineRule="atLeast"/>
    </w:pPr>
    <w:rPr>
      <w:rFonts w:eastAsia="Times New Roman" w:cs="Times New Roman"/>
      <w:kern w:val="0"/>
      <w:szCs w:val="24"/>
      <w:lang w:eastAsia="en-GB"/>
      <w14:ligatures w14:val="none"/>
    </w:rPr>
  </w:style>
  <w:style w:type="paragraph" w:styleId="FootnoteText">
    <w:name w:val="footnote text"/>
    <w:basedOn w:val="Normal"/>
    <w:link w:val="FootnoteTextChar"/>
    <w:uiPriority w:val="99"/>
    <w:semiHidden/>
    <w:unhideWhenUsed/>
    <w:rsid w:val="00B54F44"/>
    <w:pPr>
      <w:spacing w:after="0" w:line="240" w:lineRule="auto"/>
    </w:pPr>
    <w:rPr>
      <w:szCs w:val="20"/>
    </w:rPr>
  </w:style>
  <w:style w:type="character" w:customStyle="1" w:styleId="FootnoteTextChar">
    <w:name w:val="Footnote Text Char"/>
    <w:basedOn w:val="DefaultParagraphFont"/>
    <w:link w:val="FootnoteText"/>
    <w:uiPriority w:val="99"/>
    <w:semiHidden/>
    <w:rsid w:val="00B54F44"/>
    <w:rPr>
      <w:rFonts w:ascii="Arial" w:hAnsi="Arial"/>
      <w:sz w:val="20"/>
      <w:szCs w:val="20"/>
    </w:rPr>
  </w:style>
  <w:style w:type="character" w:styleId="FootnoteReference">
    <w:name w:val="footnote reference"/>
    <w:basedOn w:val="DefaultParagraphFont"/>
    <w:uiPriority w:val="99"/>
    <w:semiHidden/>
    <w:unhideWhenUsed/>
    <w:rsid w:val="00B54F44"/>
    <w:rPr>
      <w:vertAlign w:val="superscript"/>
    </w:rPr>
  </w:style>
  <w:style w:type="character" w:styleId="CommentReference">
    <w:name w:val="annotation reference"/>
    <w:basedOn w:val="DefaultParagraphFont"/>
    <w:uiPriority w:val="99"/>
    <w:semiHidden/>
    <w:unhideWhenUsed/>
    <w:rsid w:val="00816671"/>
    <w:rPr>
      <w:sz w:val="16"/>
      <w:szCs w:val="16"/>
    </w:rPr>
  </w:style>
  <w:style w:type="paragraph" w:styleId="CommentText">
    <w:name w:val="annotation text"/>
    <w:basedOn w:val="Normal"/>
    <w:link w:val="CommentTextChar"/>
    <w:uiPriority w:val="99"/>
    <w:unhideWhenUsed/>
    <w:rsid w:val="00816671"/>
    <w:pPr>
      <w:spacing w:line="240" w:lineRule="auto"/>
    </w:pPr>
    <w:rPr>
      <w:szCs w:val="20"/>
    </w:rPr>
  </w:style>
  <w:style w:type="character" w:customStyle="1" w:styleId="CommentTextChar">
    <w:name w:val="Comment Text Char"/>
    <w:basedOn w:val="DefaultParagraphFont"/>
    <w:link w:val="CommentText"/>
    <w:uiPriority w:val="99"/>
    <w:rsid w:val="0081667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16671"/>
    <w:rPr>
      <w:b/>
      <w:bCs/>
    </w:rPr>
  </w:style>
  <w:style w:type="character" w:customStyle="1" w:styleId="CommentSubjectChar">
    <w:name w:val="Comment Subject Char"/>
    <w:basedOn w:val="CommentTextChar"/>
    <w:link w:val="CommentSubject"/>
    <w:uiPriority w:val="99"/>
    <w:semiHidden/>
    <w:rsid w:val="00816671"/>
    <w:rPr>
      <w:rFonts w:ascii="Arial" w:hAnsi="Arial"/>
      <w:b/>
      <w:bCs/>
      <w:sz w:val="20"/>
      <w:szCs w:val="20"/>
    </w:rPr>
  </w:style>
  <w:style w:type="paragraph" w:customStyle="1" w:styleId="Question">
    <w:name w:val="Question"/>
    <w:basedOn w:val="Normal"/>
    <w:rsid w:val="00041FB6"/>
    <w:pPr>
      <w:keepNext/>
      <w:pBdr>
        <w:top w:val="single" w:sz="48" w:space="1" w:color="339966"/>
        <w:left w:val="single" w:sz="48" w:space="4" w:color="339966"/>
        <w:bottom w:val="single" w:sz="48" w:space="1" w:color="339966"/>
        <w:right w:val="single" w:sz="48" w:space="4" w:color="339966"/>
      </w:pBdr>
      <w:shd w:val="clear" w:color="auto" w:fill="339966"/>
      <w:spacing w:after="120" w:line="240" w:lineRule="auto"/>
      <w:ind w:right="238"/>
      <w:jc w:val="both"/>
      <w:outlineLvl w:val="7"/>
    </w:pPr>
    <w:rPr>
      <w:rFonts w:eastAsia="Times New Roman" w:cs="Arial"/>
      <w:b/>
      <w:bCs/>
      <w:color w:val="FFFFFF"/>
      <w:kern w:val="32"/>
      <w:szCs w:val="32"/>
      <w:lang w:eastAsia="en-GB"/>
      <w14:ligatures w14:val="none"/>
    </w:rPr>
  </w:style>
  <w:style w:type="paragraph" w:customStyle="1" w:styleId="GSBodyParaBullet">
    <w:name w:val="GS Body Para Bullet"/>
    <w:basedOn w:val="ListParagraph"/>
    <w:link w:val="GSBodyParaBulletChar"/>
    <w:qFormat/>
    <w:rsid w:val="00041FB6"/>
    <w:pPr>
      <w:numPr>
        <w:numId w:val="12"/>
      </w:numPr>
      <w:spacing w:before="120" w:after="120" w:line="240" w:lineRule="auto"/>
      <w:outlineLvl w:val="1"/>
    </w:pPr>
    <w:rPr>
      <w:rFonts w:ascii="Calibri" w:hAnsi="Calibri" w:cs="Arial"/>
      <w:color w:val="4D4D4D"/>
      <w:kern w:val="0"/>
      <w:sz w:val="22"/>
      <w14:ligatures w14:val="none"/>
    </w:rPr>
  </w:style>
  <w:style w:type="character" w:customStyle="1" w:styleId="GSBodyParaBulletChar">
    <w:name w:val="GS Body Para Bullet Char"/>
    <w:basedOn w:val="DefaultParagraphFont"/>
    <w:link w:val="GSBodyParaBullet"/>
    <w:rsid w:val="00041FB6"/>
    <w:rPr>
      <w:rFonts w:ascii="Calibri" w:hAnsi="Calibri" w:cs="Arial"/>
      <w:color w:val="4D4D4D"/>
      <w:kern w:val="0"/>
      <w14:ligatures w14:val="none"/>
    </w:rPr>
  </w:style>
  <w:style w:type="paragraph" w:customStyle="1" w:styleId="GSBodyParawithnumb">
    <w:name w:val="GS Body Para with numb"/>
    <w:basedOn w:val="Normal"/>
    <w:link w:val="GSBodyParawithnumbChar"/>
    <w:qFormat/>
    <w:rsid w:val="00041FB6"/>
    <w:pPr>
      <w:numPr>
        <w:ilvl w:val="1"/>
        <w:numId w:val="11"/>
      </w:numPr>
      <w:spacing w:before="120" w:after="120" w:line="240" w:lineRule="auto"/>
      <w:jc w:val="both"/>
      <w:outlineLvl w:val="1"/>
    </w:pPr>
    <w:rPr>
      <w:rFonts w:ascii="Calibri" w:hAnsi="Calibri" w:cs="Arial"/>
      <w:color w:val="4D4D4D"/>
      <w:kern w:val="0"/>
      <w:sz w:val="22"/>
      <w14:ligatures w14:val="none"/>
    </w:rPr>
  </w:style>
  <w:style w:type="character" w:customStyle="1" w:styleId="GSBodyParawithnumbChar">
    <w:name w:val="GS Body Para with numb Char"/>
    <w:basedOn w:val="DefaultParagraphFont"/>
    <w:link w:val="GSBodyParawithnumb"/>
    <w:rsid w:val="00041FB6"/>
    <w:rPr>
      <w:rFonts w:ascii="Calibri" w:hAnsi="Calibri" w:cs="Arial"/>
      <w:color w:val="4D4D4D"/>
      <w:kern w:val="0"/>
      <w14:ligatures w14:val="none"/>
    </w:rPr>
  </w:style>
  <w:style w:type="paragraph" w:customStyle="1" w:styleId="GSHeading1withnumb">
    <w:name w:val="GS Heading 1 with numb"/>
    <w:basedOn w:val="Subtitle"/>
    <w:qFormat/>
    <w:rsid w:val="00041FB6"/>
    <w:pPr>
      <w:numPr>
        <w:ilvl w:val="0"/>
        <w:numId w:val="11"/>
      </w:numPr>
      <w:pBdr>
        <w:bottom w:val="single" w:sz="2" w:space="5" w:color="CEE0CC"/>
      </w:pBdr>
      <w:spacing w:before="120" w:after="120" w:line="300" w:lineRule="exact"/>
      <w:outlineLvl w:val="1"/>
    </w:pPr>
    <w:rPr>
      <w:rFonts w:ascii="Calibri" w:eastAsiaTheme="minorEastAsia" w:hAnsi="Calibri" w:cs="Arial"/>
      <w:color w:val="3B9164"/>
      <w:kern w:val="0"/>
      <w:szCs w:val="40"/>
      <w:lang w:eastAsia="en-GB"/>
      <w14:ligatures w14:val="none"/>
    </w:rPr>
  </w:style>
  <w:style w:type="character" w:styleId="Strong">
    <w:name w:val="Strong"/>
    <w:basedOn w:val="DefaultParagraphFont"/>
    <w:uiPriority w:val="22"/>
    <w:qFormat/>
    <w:rsid w:val="00041FB6"/>
    <w:rPr>
      <w:b/>
      <w:bCs/>
    </w:rPr>
  </w:style>
  <w:style w:type="paragraph" w:styleId="ListBullet2">
    <w:name w:val="List Bullet 2"/>
    <w:basedOn w:val="Normal"/>
    <w:link w:val="ListBullet2Char"/>
    <w:rsid w:val="00715341"/>
    <w:pPr>
      <w:numPr>
        <w:numId w:val="20"/>
      </w:numPr>
      <w:tabs>
        <w:tab w:val="clear" w:pos="862"/>
      </w:tabs>
      <w:spacing w:before="120" w:after="120" w:line="300" w:lineRule="atLeast"/>
      <w:ind w:left="0" w:firstLine="0"/>
    </w:pPr>
    <w:rPr>
      <w:rFonts w:eastAsia="Times New Roman" w:cs="Times New Roman"/>
      <w:kern w:val="0"/>
      <w:szCs w:val="24"/>
      <w:lang w:eastAsia="en-GB"/>
      <w14:ligatures w14:val="none"/>
    </w:rPr>
  </w:style>
  <w:style w:type="character" w:customStyle="1" w:styleId="ListBullet2Char">
    <w:name w:val="List Bullet 2 Char"/>
    <w:link w:val="ListBullet2"/>
    <w:rsid w:val="00715341"/>
    <w:rPr>
      <w:rFonts w:ascii="Arial" w:eastAsia="Times New Roman" w:hAnsi="Arial" w:cs="Times New Roman"/>
      <w:kern w:val="0"/>
      <w:sz w:val="20"/>
      <w:szCs w:val="24"/>
      <w:lang w:eastAsia="en-GB"/>
      <w14:ligatures w14:val="none"/>
    </w:rPr>
  </w:style>
  <w:style w:type="paragraph" w:customStyle="1" w:styleId="TableList">
    <w:name w:val="Table List"/>
    <w:basedOn w:val="ListBullet2"/>
    <w:rsid w:val="00715341"/>
    <w:pPr>
      <w:numPr>
        <w:ilvl w:val="1"/>
      </w:numPr>
      <w:tabs>
        <w:tab w:val="clear" w:pos="1032"/>
        <w:tab w:val="num" w:pos="360"/>
      </w:tabs>
      <w:ind w:left="0" w:firstLine="0"/>
    </w:pPr>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2.jpe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mailto:dcusa@electralink.co.uk" TargetMode="Externa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hyperlink" Target="mailto:dcusa@electralink.co.uk" TargetMode="External"/><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4.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mailto:emma.clark@sse.com" TargetMode="Externa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image" Target="media/image5.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E88E2E-1A18-4F15-BB1E-3646809C85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8E1C5E-FFA0-43B0-AD55-5AC358926E0E}">
  <ds:schemaRefs>
    <ds:schemaRef ds:uri="http://schemas.openxmlformats.org/officeDocument/2006/bibliography"/>
  </ds:schemaRefs>
</ds:datastoreItem>
</file>

<file path=customXml/itemProps3.xml><?xml version="1.0" encoding="utf-8"?>
<ds:datastoreItem xmlns:ds="http://schemas.openxmlformats.org/officeDocument/2006/customXml" ds:itemID="{D8041A38-742F-4B41-9D2C-40EFB5DCE6D4}">
  <ds:schemaRefs>
    <ds:schemaRef ds:uri="http://schemas.microsoft.com/sharepoint/v3/contenttype/forms"/>
  </ds:schemaRefs>
</ds:datastoreItem>
</file>

<file path=customXml/itemProps4.xml><?xml version="1.0" encoding="utf-8"?>
<ds:datastoreItem xmlns:ds="http://schemas.openxmlformats.org/officeDocument/2006/customXml" ds:itemID="{11EF3B3F-FC26-4ECB-855F-91C6F0021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5016</Words>
  <Characters>26789</Characters>
  <Application>Microsoft Office Word</Application>
  <DocSecurity>0</DocSecurity>
  <Lines>535</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Dylan Townsend</cp:lastModifiedBy>
  <cp:revision>2</cp:revision>
  <dcterms:created xsi:type="dcterms:W3CDTF">2026-08-18T12:33:00Z</dcterms:created>
  <dcterms:modified xsi:type="dcterms:W3CDTF">2026-08-18T12:33:00Z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0x01010059D82CCE358ABC4A8E612162784C6687</vt:lpwstr>
  </property>
  <property fmtid="{D5CDD505-2E9C-101B-9397-08002B2CF9AE}" pid="3" name="docLang">
    <vt:lpwstr>en</vt:lpwstr>
  </property>
</Properties>
</file>